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3C" w:rsidRDefault="00C34B96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27403C" w:rsidRDefault="0027403C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7403C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7403C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86455F">
              <w:rPr>
                <w:sz w:val="20"/>
                <w:szCs w:val="20"/>
              </w:rPr>
              <w:t>1</w:t>
            </w:r>
            <w:r w:rsidR="0090151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86455F">
              <w:rPr>
                <w:sz w:val="20"/>
                <w:szCs w:val="20"/>
              </w:rPr>
              <w:t>ию</w:t>
            </w:r>
            <w:r>
              <w:rPr>
                <w:sz w:val="20"/>
                <w:szCs w:val="20"/>
              </w:rPr>
              <w:t>ля 202</w:t>
            </w:r>
            <w:r w:rsidR="0090151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г. №</w:t>
            </w:r>
            <w:r w:rsidR="0086455F">
              <w:rPr>
                <w:sz w:val="20"/>
                <w:szCs w:val="20"/>
              </w:rPr>
              <w:t>26</w:t>
            </w:r>
          </w:p>
          <w:p w:rsidR="0027403C" w:rsidRDefault="0027403C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27403C" w:rsidRDefault="00E77951" w:rsidP="00C87C6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E77951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района «Куйбышевский район»</w:t>
      </w:r>
    </w:p>
    <w:p w:rsidR="0027403C" w:rsidRDefault="0090151B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за 1 </w:t>
      </w:r>
      <w:r w:rsidR="0086455F">
        <w:rPr>
          <w:b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2024</w:t>
      </w:r>
      <w:r w:rsidR="00E77951">
        <w:rPr>
          <w:b/>
          <w:sz w:val="20"/>
          <w:szCs w:val="20"/>
        </w:rPr>
        <w:t>года</w:t>
      </w:r>
    </w:p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района «Куйбышевский район» за 1 </w:t>
      </w:r>
      <w:r w:rsidR="0086455F">
        <w:rPr>
          <w:bCs/>
          <w:sz w:val="20"/>
          <w:szCs w:val="20"/>
        </w:rPr>
        <w:t>полугодие</w:t>
      </w:r>
      <w:r>
        <w:rPr>
          <w:bCs/>
          <w:sz w:val="20"/>
          <w:szCs w:val="20"/>
        </w:rPr>
        <w:t xml:space="preserve"> 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 года (на Постановление №</w:t>
      </w:r>
      <w:r w:rsidR="0090151B">
        <w:rPr>
          <w:bCs/>
          <w:sz w:val="20"/>
          <w:szCs w:val="20"/>
        </w:rPr>
        <w:t>223</w:t>
      </w:r>
      <w:r>
        <w:rPr>
          <w:bCs/>
          <w:sz w:val="20"/>
          <w:szCs w:val="20"/>
        </w:rPr>
        <w:t xml:space="preserve"> от </w:t>
      </w:r>
      <w:r w:rsidR="0090151B">
        <w:rPr>
          <w:bCs/>
          <w:sz w:val="20"/>
          <w:szCs w:val="20"/>
        </w:rPr>
        <w:t>08</w:t>
      </w:r>
      <w:r>
        <w:rPr>
          <w:bCs/>
          <w:sz w:val="20"/>
          <w:szCs w:val="20"/>
        </w:rPr>
        <w:t>.04.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муниципальном районе «Куйбышевский район»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(далее –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район»), п. 1.3 ч.1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</w:t>
      </w:r>
      <w:r w:rsidR="0090151B">
        <w:rPr>
          <w:sz w:val="20"/>
          <w:szCs w:val="20"/>
        </w:rPr>
        <w:t>2024</w:t>
      </w:r>
      <w:r>
        <w:rPr>
          <w:sz w:val="20"/>
          <w:szCs w:val="20"/>
        </w:rPr>
        <w:t>год.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подтверждение полноты и достоверности, данных отчета об исполнении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за 1</w:t>
      </w:r>
      <w:r w:rsidR="0086455F">
        <w:rPr>
          <w:bCs/>
          <w:sz w:val="20"/>
          <w:szCs w:val="20"/>
        </w:rPr>
        <w:t>полугодие</w:t>
      </w:r>
      <w:r>
        <w:rPr>
          <w:bCs/>
          <w:sz w:val="20"/>
          <w:szCs w:val="20"/>
        </w:rPr>
        <w:t xml:space="preserve"> 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 года (далее - Отчет);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соблюдения бюджетного законодательства при осуществлении бюджетного процесса в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за 1 </w:t>
      </w:r>
      <w:r w:rsidR="0086455F">
        <w:rPr>
          <w:bCs/>
          <w:sz w:val="20"/>
          <w:szCs w:val="20"/>
        </w:rPr>
        <w:t>полугодие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уровня исполнения показателей, утвержденных решением о бюджете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на </w:t>
      </w:r>
      <w:r w:rsidR="0090151B">
        <w:rPr>
          <w:sz w:val="20"/>
          <w:szCs w:val="20"/>
        </w:rPr>
        <w:t>2024</w:t>
      </w:r>
      <w:r>
        <w:rPr>
          <w:sz w:val="20"/>
          <w:szCs w:val="20"/>
        </w:rPr>
        <w:t>финансовый год.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отдел финансов </w:t>
      </w:r>
      <w:r>
        <w:rPr>
          <w:bCs/>
          <w:sz w:val="20"/>
          <w:szCs w:val="20"/>
        </w:rPr>
        <w:t>МР «Куйбышевский район».</w:t>
      </w:r>
    </w:p>
    <w:p w:rsidR="0027403C" w:rsidRDefault="00E77951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МР «Куйбышевский район»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Положение о бюджетном процессе в МР «Куйбышевский район»;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Решение Районного Собрания  №</w:t>
      </w:r>
      <w:r w:rsidR="000E3BC2">
        <w:rPr>
          <w:sz w:val="20"/>
          <w:szCs w:val="20"/>
        </w:rPr>
        <w:t>228</w:t>
      </w:r>
      <w:r>
        <w:rPr>
          <w:sz w:val="20"/>
          <w:szCs w:val="20"/>
        </w:rPr>
        <w:t xml:space="preserve"> от 2</w:t>
      </w:r>
      <w:r w:rsidR="000E3BC2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0E3BC2">
        <w:rPr>
          <w:sz w:val="20"/>
          <w:szCs w:val="20"/>
        </w:rPr>
        <w:t>3</w:t>
      </w:r>
      <w:r>
        <w:rPr>
          <w:sz w:val="20"/>
          <w:szCs w:val="20"/>
        </w:rPr>
        <w:t>г. «О бюджете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0E3BC2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плановый период 202</w:t>
      </w:r>
      <w:r w:rsidR="000E3BC2">
        <w:rPr>
          <w:sz w:val="20"/>
          <w:szCs w:val="20"/>
        </w:rPr>
        <w:t>5</w:t>
      </w:r>
      <w:r>
        <w:rPr>
          <w:sz w:val="20"/>
          <w:szCs w:val="20"/>
        </w:rPr>
        <w:t>-202</w:t>
      </w:r>
      <w:r w:rsidR="000E3BC2">
        <w:rPr>
          <w:sz w:val="20"/>
          <w:szCs w:val="20"/>
        </w:rPr>
        <w:t>6</w:t>
      </w:r>
      <w:r>
        <w:rPr>
          <w:sz w:val="20"/>
          <w:szCs w:val="20"/>
        </w:rPr>
        <w:t xml:space="preserve"> годов»;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МР «Куйбышевский район»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район» за отчетный период по доходам;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«Куйбышевский район» за отчетный период по расходам;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источников внутреннего финансирования дефицита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 </w:t>
      </w:r>
      <w:r w:rsidR="0086455F">
        <w:rPr>
          <w:sz w:val="20"/>
          <w:szCs w:val="20"/>
        </w:rPr>
        <w:t>полугодие</w:t>
      </w:r>
      <w:r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1 </w:t>
      </w:r>
      <w:r w:rsidR="0086455F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года.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об исполнении бюджета МР « Куйбышевский район» за 1</w:t>
      </w:r>
      <w:r w:rsidR="00234D77">
        <w:rPr>
          <w:rFonts w:ascii="Times New Roman" w:hAnsi="Times New Roman" w:cs="Times New Roman"/>
          <w:b w:val="0"/>
          <w:color w:val="000000"/>
          <w:sz w:val="20"/>
          <w:szCs w:val="20"/>
        </w:rPr>
        <w:t>полугодие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года утвержден Постановлением Администрации МР «Куйбышевский район» № 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223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от 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08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апреля 20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Default="00E77951" w:rsidP="00234D77">
      <w:pPr>
        <w:pStyle w:val="Standard"/>
        <w:numPr>
          <w:ilvl w:val="0"/>
          <w:numId w:val="2"/>
        </w:num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МР «Куйбышевский район» за 1 </w:t>
      </w:r>
      <w:r w:rsidR="00234D77"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года по доходам в сумме </w:t>
      </w:r>
      <w:r w:rsidR="00234D77" w:rsidRPr="00234D77">
        <w:rPr>
          <w:sz w:val="20"/>
          <w:szCs w:val="20"/>
        </w:rPr>
        <w:t>265 438 360,11</w:t>
      </w:r>
      <w:r>
        <w:rPr>
          <w:sz w:val="20"/>
          <w:szCs w:val="20"/>
        </w:rPr>
        <w:t xml:space="preserve">руб. и расходам в сумме </w:t>
      </w:r>
      <w:r w:rsidR="00234D77" w:rsidRPr="00234D77">
        <w:rPr>
          <w:sz w:val="20"/>
          <w:szCs w:val="20"/>
        </w:rPr>
        <w:t>240 341 001,48</w:t>
      </w:r>
      <w:r>
        <w:rPr>
          <w:sz w:val="20"/>
          <w:szCs w:val="20"/>
        </w:rPr>
        <w:t>руб., в разрезе разделов функциональной бюджетной классификации Российской Федерации, с пр</w:t>
      </w:r>
      <w:r w:rsidR="008D01D4">
        <w:rPr>
          <w:sz w:val="20"/>
          <w:szCs w:val="20"/>
        </w:rPr>
        <w:t>евышением доходов над расходами</w:t>
      </w:r>
      <w:r>
        <w:rPr>
          <w:sz w:val="20"/>
          <w:szCs w:val="20"/>
        </w:rPr>
        <w:t xml:space="preserve"> за 1 </w:t>
      </w:r>
      <w:r w:rsidR="00234D77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202</w:t>
      </w:r>
      <w:r w:rsidR="008D01D4">
        <w:rPr>
          <w:sz w:val="20"/>
          <w:szCs w:val="20"/>
        </w:rPr>
        <w:t>4</w:t>
      </w:r>
      <w:r w:rsidR="00C87C62">
        <w:rPr>
          <w:sz w:val="20"/>
          <w:szCs w:val="20"/>
        </w:rPr>
        <w:t xml:space="preserve"> </w:t>
      </w:r>
      <w:r>
        <w:rPr>
          <w:sz w:val="20"/>
          <w:szCs w:val="20"/>
        </w:rPr>
        <w:t>года в размере</w:t>
      </w:r>
      <w:r w:rsidR="008D01D4">
        <w:rPr>
          <w:sz w:val="20"/>
          <w:szCs w:val="20"/>
        </w:rPr>
        <w:t>2</w:t>
      </w:r>
      <w:r w:rsidR="00234D77">
        <w:rPr>
          <w:sz w:val="20"/>
          <w:szCs w:val="20"/>
        </w:rPr>
        <w:t>5</w:t>
      </w:r>
      <w:r w:rsidR="008D01D4">
        <w:rPr>
          <w:sz w:val="20"/>
          <w:szCs w:val="20"/>
        </w:rPr>
        <w:t> </w:t>
      </w:r>
      <w:r w:rsidR="00234D77">
        <w:rPr>
          <w:sz w:val="20"/>
          <w:szCs w:val="20"/>
        </w:rPr>
        <w:t>097</w:t>
      </w:r>
      <w:r w:rsidR="008D01D4">
        <w:rPr>
          <w:sz w:val="20"/>
          <w:szCs w:val="20"/>
        </w:rPr>
        <w:t> </w:t>
      </w:r>
      <w:r w:rsidR="00234D77">
        <w:rPr>
          <w:sz w:val="20"/>
          <w:szCs w:val="20"/>
        </w:rPr>
        <w:t>358</w:t>
      </w:r>
      <w:r w:rsidR="008D01D4">
        <w:rPr>
          <w:sz w:val="20"/>
          <w:szCs w:val="20"/>
        </w:rPr>
        <w:t>,</w:t>
      </w:r>
      <w:r w:rsidR="00234D77">
        <w:rPr>
          <w:sz w:val="20"/>
          <w:szCs w:val="20"/>
        </w:rPr>
        <w:t>63</w:t>
      </w:r>
      <w:r w:rsidR="00C87C62">
        <w:rPr>
          <w:sz w:val="20"/>
          <w:szCs w:val="20"/>
        </w:rPr>
        <w:t> </w:t>
      </w:r>
      <w:r>
        <w:rPr>
          <w:sz w:val="20"/>
          <w:szCs w:val="20"/>
        </w:rPr>
        <w:t>руб.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 1</w:t>
      </w:r>
      <w:r w:rsidR="00234D77">
        <w:rPr>
          <w:rFonts w:ascii="Times New Roman" w:hAnsi="Times New Roman" w:cs="Times New Roman"/>
          <w:b w:val="0"/>
          <w:color w:val="000000"/>
          <w:sz w:val="20"/>
          <w:szCs w:val="20"/>
        </w:rPr>
        <w:t>полугодия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Районного Собрания «О бюджете муниципального района «Куйбышевский район» на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плановый период 202</w:t>
      </w:r>
      <w:r w:rsidR="008D01D4">
        <w:rPr>
          <w:sz w:val="20"/>
          <w:szCs w:val="20"/>
        </w:rPr>
        <w:t>5</w:t>
      </w:r>
      <w:r>
        <w:rPr>
          <w:sz w:val="20"/>
          <w:szCs w:val="20"/>
        </w:rPr>
        <w:t>-202</w:t>
      </w:r>
      <w:r w:rsidR="008D01D4">
        <w:rPr>
          <w:sz w:val="20"/>
          <w:szCs w:val="20"/>
        </w:rPr>
        <w:t>6</w:t>
      </w:r>
      <w:r>
        <w:rPr>
          <w:sz w:val="20"/>
          <w:szCs w:val="20"/>
        </w:rPr>
        <w:t xml:space="preserve"> годов» №</w:t>
      </w:r>
      <w:r w:rsidR="008D01D4">
        <w:rPr>
          <w:sz w:val="20"/>
          <w:szCs w:val="20"/>
        </w:rPr>
        <w:t>228</w:t>
      </w:r>
      <w:r>
        <w:rPr>
          <w:sz w:val="20"/>
          <w:szCs w:val="20"/>
        </w:rPr>
        <w:t xml:space="preserve">  от 2</w:t>
      </w:r>
      <w:r w:rsidR="008D01D4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8D01D4">
        <w:rPr>
          <w:sz w:val="20"/>
          <w:szCs w:val="20"/>
        </w:rPr>
        <w:t>3</w:t>
      </w:r>
      <w:r>
        <w:rPr>
          <w:sz w:val="20"/>
          <w:szCs w:val="20"/>
        </w:rPr>
        <w:t>г. утвержден бюджет</w:t>
      </w:r>
      <w:r w:rsidR="00C87C62">
        <w:rPr>
          <w:sz w:val="20"/>
          <w:szCs w:val="20"/>
        </w:rPr>
        <w:t xml:space="preserve"> МР «Куйбышевский район» на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год.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Подготовленное заключение на отчет об испо</w:t>
      </w:r>
      <w:r w:rsidR="00C87C62">
        <w:rPr>
          <w:sz w:val="20"/>
          <w:szCs w:val="20"/>
        </w:rPr>
        <w:t xml:space="preserve">лнении бюджета за 1 </w:t>
      </w:r>
      <w:r w:rsidR="00234D77">
        <w:rPr>
          <w:sz w:val="20"/>
          <w:szCs w:val="20"/>
        </w:rPr>
        <w:t>полугодие</w:t>
      </w:r>
      <w:r w:rsidR="00C87C62">
        <w:rPr>
          <w:sz w:val="20"/>
          <w:szCs w:val="20"/>
        </w:rPr>
        <w:t xml:space="preserve">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об исполнении бюджета муниципального района «Куйбышевский район» за 1 </w:t>
      </w:r>
      <w:r w:rsidR="00234D77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 муниципальному району «Куйбышевский район» за 1 </w:t>
      </w:r>
      <w:r w:rsidR="00234D77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</w:t>
      </w:r>
      <w:r w:rsidR="008D01D4">
        <w:rPr>
          <w:sz w:val="20"/>
          <w:szCs w:val="20"/>
        </w:rPr>
        <w:t>24</w:t>
      </w:r>
      <w:r>
        <w:rPr>
          <w:sz w:val="20"/>
          <w:szCs w:val="20"/>
        </w:rPr>
        <w:t>года»;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«Расходы бюджета муниципального района «Куйбышевский район» за 1 </w:t>
      </w:r>
      <w:r w:rsidR="00234D77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года»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 № 3 «Источники финансирования дефицита бюджета МР « Куйбы</w:t>
      </w:r>
      <w:r w:rsidR="00C87C62">
        <w:rPr>
          <w:sz w:val="20"/>
          <w:szCs w:val="20"/>
        </w:rPr>
        <w:t xml:space="preserve">шевский район» за 1 </w:t>
      </w:r>
      <w:r w:rsidR="00234D77">
        <w:rPr>
          <w:sz w:val="20"/>
          <w:szCs w:val="20"/>
        </w:rPr>
        <w:t xml:space="preserve">полугодие </w:t>
      </w:r>
      <w:r w:rsidR="00C87C62"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4  Отчет об использовании резервного фонда администрации МР «Куйбышевский район» за 1 </w:t>
      </w:r>
      <w:r w:rsidR="00234D77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5 «отчет об использовании резервного фонда по предупреждению и ликвидации чрезвычайных ситуаций администрации МР « Куйбышевский район» за 1 </w:t>
      </w:r>
      <w:r w:rsidR="00234D77">
        <w:rPr>
          <w:sz w:val="20"/>
          <w:szCs w:val="20"/>
        </w:rPr>
        <w:t>полугодие</w:t>
      </w:r>
      <w:r>
        <w:rPr>
          <w:sz w:val="20"/>
          <w:szCs w:val="20"/>
        </w:rPr>
        <w:t>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27403C" w:rsidRDefault="0027403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</w:rPr>
        <w:t>МР «</w:t>
      </w:r>
      <w:r>
        <w:rPr>
          <w:rFonts w:ascii="Times New Roman" w:hAnsi="Times New Roman" w:cs="Times New Roman"/>
          <w:b/>
        </w:rPr>
        <w:t>Куйбышевский</w:t>
      </w:r>
      <w:r>
        <w:rPr>
          <w:rFonts w:ascii="Times New Roman" w:hAnsi="Times New Roman" w:cs="Times New Roman"/>
          <w:b/>
          <w:bCs/>
        </w:rPr>
        <w:t xml:space="preserve"> район»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</w:t>
      </w:r>
      <w:r>
        <w:rPr>
          <w:rFonts w:ascii="Times New Roman" w:hAnsi="Times New Roman" w:cs="Times New Roman"/>
        </w:rPr>
        <w:lastRenderedPageBreak/>
        <w:t xml:space="preserve">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rPr>
          <w:rFonts w:ascii="Times New Roman" w:hAnsi="Times New Roman" w:cs="Times New Roman"/>
        </w:rP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9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 Положением о бюджетном процессе в муниципальном районе «</w:t>
        </w:r>
      </w:hyperlink>
      <w:hyperlink r:id="rId10" w:history="1">
        <w:r>
          <w:rPr>
            <w:rFonts w:ascii="Times New Roman" w:hAnsi="Times New Roman" w:cs="Times New Roman"/>
          </w:rPr>
          <w:t>Куйбышевский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район»</w:t>
        </w:r>
      </w:hyperlink>
      <w:r>
        <w:rPr>
          <w:rFonts w:ascii="Times New Roman" w:hAnsi="Times New Roman" w:cs="Times New Roman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утверждении отчета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</w:t>
      </w:r>
      <w:r w:rsidR="00234D77">
        <w:rPr>
          <w:bCs/>
          <w:sz w:val="20"/>
          <w:szCs w:val="20"/>
        </w:rPr>
        <w:t>полугодие</w:t>
      </w:r>
      <w:r>
        <w:rPr>
          <w:bCs/>
          <w:sz w:val="20"/>
          <w:szCs w:val="20"/>
        </w:rPr>
        <w:t xml:space="preserve"> 202</w:t>
      </w:r>
      <w:r w:rsidR="00427860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>года (с изменениями и дополнениями), утверждается отчет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</w:t>
      </w:r>
      <w:r w:rsidR="00234D77">
        <w:rPr>
          <w:sz w:val="20"/>
          <w:szCs w:val="20"/>
        </w:rPr>
        <w:t>полугодие</w:t>
      </w:r>
      <w:r>
        <w:rPr>
          <w:bCs/>
          <w:sz w:val="20"/>
          <w:szCs w:val="20"/>
        </w:rPr>
        <w:t xml:space="preserve"> 202</w:t>
      </w:r>
      <w:r w:rsidR="00427860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 xml:space="preserve">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</w:t>
      </w:r>
      <w:r w:rsidR="00234D77" w:rsidRPr="00234D77">
        <w:rPr>
          <w:sz w:val="20"/>
          <w:szCs w:val="20"/>
        </w:rPr>
        <w:t>265 438 360,11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 </w:t>
      </w:r>
      <w:r w:rsidR="00234D77" w:rsidRPr="00234D77">
        <w:rPr>
          <w:sz w:val="20"/>
          <w:szCs w:val="20"/>
        </w:rPr>
        <w:t>240 341 001,48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</w:t>
      </w:r>
      <w:r w:rsidR="00234D77">
        <w:rPr>
          <w:sz w:val="20"/>
          <w:szCs w:val="20"/>
        </w:rPr>
        <w:t>25 097 358,63 </w:t>
      </w:r>
      <w:r>
        <w:rPr>
          <w:bCs/>
          <w:sz w:val="20"/>
          <w:szCs w:val="20"/>
        </w:rPr>
        <w:t>рублей.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3, 4, 5 к Проекту Решения соответствуют показателям Постановления администрации МР «Куйбышевский район» № </w:t>
      </w:r>
      <w:r w:rsidR="00234D77">
        <w:rPr>
          <w:sz w:val="20"/>
          <w:szCs w:val="20"/>
        </w:rPr>
        <w:t>322</w:t>
      </w:r>
      <w:r>
        <w:rPr>
          <w:sz w:val="20"/>
          <w:szCs w:val="20"/>
        </w:rPr>
        <w:t xml:space="preserve"> от </w:t>
      </w:r>
      <w:r w:rsidR="00427860">
        <w:rPr>
          <w:sz w:val="20"/>
          <w:szCs w:val="20"/>
        </w:rPr>
        <w:t>0</w:t>
      </w:r>
      <w:r w:rsidR="00234D77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="00234D77">
        <w:rPr>
          <w:sz w:val="20"/>
          <w:szCs w:val="20"/>
        </w:rPr>
        <w:t xml:space="preserve">июля </w:t>
      </w:r>
      <w:r>
        <w:rPr>
          <w:sz w:val="20"/>
          <w:szCs w:val="20"/>
        </w:rPr>
        <w:t>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 xml:space="preserve"> года «Об исполнении бюджета МР «Куйбышевский район» за 1 </w:t>
      </w:r>
      <w:r w:rsidR="000D2335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 xml:space="preserve"> года.</w:t>
      </w:r>
    </w:p>
    <w:p w:rsidR="0027403C" w:rsidRDefault="0027403C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«Куйбышевский район» за отчетный период по доходам.</w:t>
      </w:r>
    </w:p>
    <w:p w:rsidR="0027403C" w:rsidRDefault="000D2335" w:rsidP="00412029">
      <w:pPr>
        <w:jc w:val="both"/>
        <w:rPr>
          <w:sz w:val="20"/>
          <w:szCs w:val="20"/>
        </w:rPr>
      </w:pPr>
      <w:r>
        <w:rPr>
          <w:sz w:val="20"/>
          <w:szCs w:val="20"/>
        </w:rPr>
        <w:t>46,8</w:t>
      </w:r>
      <w:r w:rsidR="00E77951">
        <w:rPr>
          <w:sz w:val="20"/>
          <w:szCs w:val="20"/>
        </w:rPr>
        <w:t>% к утвержденным назначениям (</w:t>
      </w:r>
      <w:r w:rsidR="00412029" w:rsidRPr="00412029">
        <w:rPr>
          <w:rFonts w:ascii="Times New Roman Cyr" w:eastAsia="Times New Roman" w:hAnsi="Times New Roman Cyr" w:cs="Times New Roman"/>
          <w:bCs/>
          <w:kern w:val="0"/>
          <w:sz w:val="20"/>
          <w:szCs w:val="20"/>
          <w:lang w:eastAsia="ru-RU" w:bidi="ar-SA"/>
        </w:rPr>
        <w:t>5</w:t>
      </w:r>
      <w:r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67</w:t>
      </w:r>
      <w:r w:rsidR="00412029" w:rsidRPr="00412029">
        <w:rPr>
          <w:rFonts w:ascii="Times New Roman Cyr" w:eastAsia="Times New Roman" w:hAnsi="Times New Roman Cyr" w:cs="Times New Roman"/>
          <w:bCs/>
          <w:kern w:val="0"/>
          <w:sz w:val="20"/>
          <w:szCs w:val="20"/>
          <w:lang w:eastAsia="ru-RU" w:bidi="ar-SA"/>
        </w:rPr>
        <w:t xml:space="preserve"> </w:t>
      </w:r>
      <w:r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207</w:t>
      </w:r>
      <w:r w:rsidR="00412029" w:rsidRPr="00412029">
        <w:rPr>
          <w:rFonts w:ascii="Times New Roman Cyr" w:eastAsia="Times New Roman" w:hAnsi="Times New Roman Cyr" w:cs="Times New Roman"/>
          <w:bCs/>
          <w:kern w:val="0"/>
          <w:sz w:val="20"/>
          <w:szCs w:val="20"/>
          <w:lang w:eastAsia="ru-RU" w:bidi="ar-SA"/>
        </w:rPr>
        <w:t xml:space="preserve"> </w:t>
      </w:r>
      <w:r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013</w:t>
      </w:r>
      <w:r w:rsidR="00412029" w:rsidRPr="00412029">
        <w:rPr>
          <w:rFonts w:ascii="Times New Roman Cyr" w:eastAsia="Times New Roman" w:hAnsi="Times New Roman Cyr" w:cs="Times New Roman"/>
          <w:bCs/>
          <w:kern w:val="0"/>
          <w:sz w:val="20"/>
          <w:szCs w:val="20"/>
          <w:lang w:eastAsia="ru-RU" w:bidi="ar-SA"/>
        </w:rPr>
        <w:t>,</w:t>
      </w:r>
      <w:r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00</w:t>
      </w:r>
      <w:r w:rsidR="0061422B">
        <w:rPr>
          <w:sz w:val="20"/>
          <w:szCs w:val="20"/>
        </w:rPr>
        <w:t>руб</w:t>
      </w:r>
      <w:r w:rsidR="00E77951">
        <w:rPr>
          <w:sz w:val="20"/>
          <w:szCs w:val="20"/>
        </w:rPr>
        <w:t>.)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0D2335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муниципального района «</w:t>
            </w:r>
            <w:r>
              <w:rPr>
                <w:b/>
                <w:sz w:val="20"/>
                <w:szCs w:val="20"/>
              </w:rPr>
              <w:t>Куйбышевский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район» за 1</w:t>
            </w:r>
            <w:r w:rsidR="000D2335">
              <w:rPr>
                <w:b/>
                <w:bCs/>
                <w:color w:val="000000"/>
                <w:sz w:val="20"/>
                <w:szCs w:val="20"/>
              </w:rPr>
              <w:t>полугодие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412029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D2335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34D77">
              <w:rPr>
                <w:sz w:val="20"/>
                <w:szCs w:val="20"/>
              </w:rPr>
              <w:t>265 438 360,11</w:t>
            </w:r>
          </w:p>
        </w:tc>
      </w:tr>
      <w:tr w:rsidR="0027403C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D2451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г. Решение Районного Собрания «О бюджете муниципального района «</w:t>
            </w:r>
            <w:r>
              <w:rPr>
                <w:bCs/>
                <w:sz w:val="20"/>
                <w:szCs w:val="20"/>
              </w:rPr>
              <w:t xml:space="preserve">Куйбышевский </w:t>
            </w:r>
            <w:r>
              <w:rPr>
                <w:color w:val="000000"/>
                <w:sz w:val="20"/>
                <w:szCs w:val="20"/>
              </w:rPr>
              <w:t>район» на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год и плановый период 202</w:t>
            </w:r>
            <w:r w:rsidR="00D2451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D24517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годов» № </w:t>
            </w:r>
            <w:r w:rsidR="00D24517">
              <w:rPr>
                <w:color w:val="000000"/>
                <w:sz w:val="20"/>
                <w:szCs w:val="20"/>
              </w:rPr>
              <w:t>228</w:t>
            </w:r>
            <w:r>
              <w:rPr>
                <w:color w:val="000000"/>
                <w:sz w:val="20"/>
                <w:szCs w:val="20"/>
              </w:rPr>
              <w:t xml:space="preserve">  от 2</w:t>
            </w:r>
            <w:r w:rsidR="00D24517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.12.202</w:t>
            </w:r>
            <w:r w:rsidR="00D2451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г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D2335" w:rsidP="00D2451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12029">
              <w:rPr>
                <w:rFonts w:ascii="Times New Roman Cyr" w:eastAsia="Times New Roman" w:hAnsi="Times New Roman Cyr" w:cs="Times New Roman"/>
                <w:bCs/>
                <w:kern w:val="0"/>
                <w:sz w:val="20"/>
                <w:szCs w:val="20"/>
                <w:lang w:eastAsia="ru-RU" w:bidi="ar-SA"/>
              </w:rPr>
              <w:t>5</w:t>
            </w:r>
            <w:r>
              <w:rPr>
                <w:rFonts w:asciiTheme="minorHAnsi" w:eastAsia="Times New Roman" w:hAnsiTheme="minorHAnsi" w:cs="Times New Roman"/>
                <w:bCs/>
                <w:kern w:val="0"/>
                <w:sz w:val="20"/>
                <w:szCs w:val="20"/>
                <w:lang w:eastAsia="ru-RU" w:bidi="ar-SA"/>
              </w:rPr>
              <w:t>67</w:t>
            </w:r>
            <w:r w:rsidRPr="00412029">
              <w:rPr>
                <w:rFonts w:ascii="Times New Roman Cyr" w:eastAsia="Times New Roman" w:hAnsi="Times New Roman Cyr"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bCs/>
                <w:kern w:val="0"/>
                <w:sz w:val="20"/>
                <w:szCs w:val="20"/>
                <w:lang w:eastAsia="ru-RU" w:bidi="ar-SA"/>
              </w:rPr>
              <w:t>207</w:t>
            </w:r>
            <w:r w:rsidRPr="00412029">
              <w:rPr>
                <w:rFonts w:ascii="Times New Roman Cyr" w:eastAsia="Times New Roman" w:hAnsi="Times New Roman Cyr"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bCs/>
                <w:kern w:val="0"/>
                <w:sz w:val="20"/>
                <w:szCs w:val="20"/>
                <w:lang w:eastAsia="ru-RU" w:bidi="ar-SA"/>
              </w:rPr>
              <w:t>013</w:t>
            </w:r>
            <w:r w:rsidRPr="00412029">
              <w:rPr>
                <w:rFonts w:ascii="Times New Roman Cyr" w:eastAsia="Times New Roman" w:hAnsi="Times New Roman Cyr" w:cs="Times New Roman"/>
                <w:bCs/>
                <w:kern w:val="0"/>
                <w:sz w:val="20"/>
                <w:szCs w:val="20"/>
                <w:lang w:eastAsia="ru-RU" w:bidi="ar-SA"/>
              </w:rPr>
              <w:t>,</w:t>
            </w:r>
            <w:r>
              <w:rPr>
                <w:rFonts w:asciiTheme="minorHAnsi" w:eastAsia="Times New Roman" w:hAnsiTheme="minorHAnsi" w:cs="Times New Roman"/>
                <w:bCs/>
                <w:kern w:val="0"/>
                <w:sz w:val="20"/>
                <w:szCs w:val="20"/>
                <w:lang w:eastAsia="ru-RU" w:bidi="ar-SA"/>
              </w:rPr>
              <w:t>00</w:t>
            </w:r>
          </w:p>
        </w:tc>
      </w:tr>
      <w:tr w:rsidR="0027403C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D2451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D2335" w:rsidP="0061422B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46,8</w:t>
            </w:r>
          </w:p>
        </w:tc>
      </w:tr>
    </w:tbl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Исполнение доходов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 </w:t>
      </w:r>
      <w:r w:rsidR="000D2335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202</w:t>
      </w:r>
      <w:r w:rsidR="00412029">
        <w:rPr>
          <w:sz w:val="20"/>
          <w:szCs w:val="20"/>
        </w:rPr>
        <w:t>4</w:t>
      </w:r>
      <w:r>
        <w:rPr>
          <w:sz w:val="20"/>
          <w:szCs w:val="20"/>
        </w:rPr>
        <w:t>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27403C" w:rsidRDefault="0027403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6"/>
        <w:gridCol w:w="3703"/>
      </w:tblGrid>
      <w:tr w:rsidR="0027403C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 w:rsidTr="00412029">
        <w:trPr>
          <w:trHeight w:val="230"/>
        </w:trPr>
        <w:tc>
          <w:tcPr>
            <w:tcW w:w="6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 w:rsidTr="00412029">
        <w:trPr>
          <w:trHeight w:val="276"/>
        </w:trPr>
        <w:tc>
          <w:tcPr>
            <w:tcW w:w="6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3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НАЛОГОВЫЕ И НЕНАЛОГОВЫЕ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124" w:rsidRPr="00F87B67" w:rsidRDefault="00694124" w:rsidP="00694124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46 589 902,53</w:t>
            </w:r>
          </w:p>
          <w:p w:rsidR="0027403C" w:rsidRPr="00F87B67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НАЛОГИ НА ПРИБЫЛЬ,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124" w:rsidRPr="00F87B67" w:rsidRDefault="00694124" w:rsidP="00694124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33 306 012,82</w:t>
            </w:r>
          </w:p>
          <w:p w:rsidR="0027403C" w:rsidRPr="00F87B67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НАЛОГИ НА ТОВАРЫ (РАБОТЫ, УСЛУГИ), РЕАЛИЗУЕМЫЕ НА ТЕРРИТОРИИ РОССИЙСКОЙ ФЕДЕРАЦИИ</w:t>
            </w:r>
            <w:r w:rsidR="0061422B" w:rsidRPr="00F87B67">
              <w:rPr>
                <w:color w:val="000000"/>
              </w:rPr>
              <w:t>(Акцизы)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124" w:rsidRPr="00F87B67" w:rsidRDefault="00694124" w:rsidP="00694124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6 483 507,14</w:t>
            </w:r>
          </w:p>
          <w:p w:rsidR="0027403C" w:rsidRPr="00F87B67" w:rsidRDefault="0027403C" w:rsidP="0061422B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НАЛОГИ НА СОВОКУПНЫЙ ДОХОД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124" w:rsidRPr="00F87B67" w:rsidRDefault="00694124" w:rsidP="00694124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2 928 205,43</w:t>
            </w:r>
          </w:p>
          <w:p w:rsidR="0027403C" w:rsidRPr="00F87B67" w:rsidRDefault="0027403C" w:rsidP="00E954EE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НАЛОГИ НА ИМУЩЕСТВО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124" w:rsidRPr="00F87B67" w:rsidRDefault="00694124" w:rsidP="00694124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625 280,80</w:t>
            </w:r>
          </w:p>
          <w:p w:rsidR="0027403C" w:rsidRPr="00F87B67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ГОСУДАРСТВЕННАЯ ПОШЛИНА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124" w:rsidRPr="00F87B67" w:rsidRDefault="00694124" w:rsidP="00694124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224 808,87</w:t>
            </w:r>
          </w:p>
          <w:p w:rsidR="0027403C" w:rsidRPr="00F87B67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lastRenderedPageBreak/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F87B67" w:rsidP="00F87B67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713 802,73</w:t>
            </w:r>
          </w:p>
          <w:p w:rsidR="0027403C" w:rsidRPr="00F87B67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ПЛАТЕЖИ ПРИ ПОЛЬЗОВАНИИ ПРИРОДНЫМИ РЕСУРСАМИ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F87B67" w:rsidP="00F87B67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222 628,83</w:t>
            </w:r>
          </w:p>
          <w:p w:rsidR="0027403C" w:rsidRPr="00F87B67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F87B67" w:rsidTr="00917245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F87B67" w:rsidP="00F87B67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87B67" w:rsidRPr="00F87B67" w:rsidRDefault="00F87B67" w:rsidP="00F87B67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1 565 292,03</w:t>
            </w: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F87B67" w:rsidP="00F87B67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153 380,05</w:t>
            </w:r>
          </w:p>
          <w:p w:rsidR="0027403C" w:rsidRPr="00F87B67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ШТРАФЫ, САНКЦИИ, ВОЗМЕЩЕНИЕ УЩЕРБА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F87B67" w:rsidP="00F87B67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364 366,75</w:t>
            </w:r>
          </w:p>
          <w:p w:rsidR="0027403C" w:rsidRPr="00F87B67" w:rsidRDefault="0027403C" w:rsidP="00400F24">
            <w:pPr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ПРОЧИЕ НЕНАЛОГОВЫЕ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F87B67" w:rsidP="00F87B67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2 617,08</w:t>
            </w:r>
          </w:p>
          <w:p w:rsidR="0027403C" w:rsidRPr="00F87B67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БЕЗВОЗМЕЗДНЫЕ ПОСТУПЛЕНИЯ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F87B67" w:rsidP="00F87B67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218 848 457,58</w:t>
            </w:r>
          </w:p>
          <w:p w:rsidR="0027403C" w:rsidRPr="00F87B67" w:rsidRDefault="0027403C" w:rsidP="00E954EE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b/>
                <w:color w:val="000000"/>
              </w:rPr>
            </w:pPr>
            <w:r w:rsidRPr="00F87B67">
              <w:rPr>
                <w:b/>
                <w:color w:val="000000"/>
              </w:rPr>
              <w:t>ИТОГО ДОХОДОВ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E77951" w:rsidP="007F2104">
            <w:pPr>
              <w:pStyle w:val="Standard"/>
              <w:ind w:firstLine="745"/>
              <w:jc w:val="both"/>
              <w:rPr>
                <w:b/>
                <w:bCs/>
                <w:color w:val="000000"/>
              </w:rPr>
            </w:pPr>
            <w:r w:rsidRPr="00F87B67">
              <w:rPr>
                <w:b/>
                <w:bCs/>
                <w:color w:val="000000"/>
              </w:rPr>
              <w:t xml:space="preserve">    </w:t>
            </w:r>
            <w:r w:rsidR="00400F24" w:rsidRPr="00F87B67">
              <w:rPr>
                <w:b/>
                <w:bCs/>
                <w:color w:val="000000"/>
              </w:rPr>
              <w:t xml:space="preserve">                                           </w:t>
            </w:r>
            <w:r w:rsidR="007F2104" w:rsidRPr="00F87B67">
              <w:rPr>
                <w:b/>
                <w:bCs/>
                <w:color w:val="000000"/>
              </w:rPr>
              <w:t xml:space="preserve">         </w:t>
            </w:r>
          </w:p>
          <w:p w:rsidR="00F87B67" w:rsidRPr="00F87B67" w:rsidRDefault="00F87B67" w:rsidP="00F87B67">
            <w:pPr>
              <w:jc w:val="both"/>
              <w:rPr>
                <w:rFonts w:ascii="Times New Roman Cyr" w:hAnsi="Times New Roman Cyr"/>
                <w:b/>
                <w:bCs/>
              </w:rPr>
            </w:pPr>
            <w:r w:rsidRPr="00F87B67">
              <w:rPr>
                <w:rFonts w:ascii="Times New Roman Cyr" w:hAnsi="Times New Roman Cyr"/>
                <w:b/>
                <w:bCs/>
              </w:rPr>
              <w:t>265 438 360,11</w:t>
            </w:r>
          </w:p>
          <w:p w:rsidR="00400F24" w:rsidRPr="00F87B67" w:rsidRDefault="00400F24" w:rsidP="007F2104">
            <w:pPr>
              <w:pStyle w:val="Standard"/>
              <w:ind w:firstLine="745"/>
              <w:jc w:val="both"/>
              <w:rPr>
                <w:b/>
                <w:bCs/>
                <w:color w:val="000000"/>
              </w:rPr>
            </w:pPr>
          </w:p>
          <w:p w:rsidR="0027403C" w:rsidRPr="00F87B67" w:rsidRDefault="0027403C" w:rsidP="00400F24">
            <w:pPr>
              <w:jc w:val="both"/>
              <w:rPr>
                <w:b/>
                <w:bCs/>
                <w:color w:val="000000"/>
              </w:rPr>
            </w:pP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</w:t>
      </w:r>
      <w:r>
        <w:rPr>
          <w:b/>
          <w:bCs/>
          <w:sz w:val="20"/>
          <w:szCs w:val="20"/>
        </w:rPr>
        <w:t>Куйбышевский</w:t>
      </w:r>
      <w:r>
        <w:rPr>
          <w:b/>
          <w:sz w:val="20"/>
          <w:szCs w:val="20"/>
        </w:rPr>
        <w:t xml:space="preserve"> район» за отчетный период по расходам.</w:t>
      </w:r>
    </w:p>
    <w:p w:rsidR="0027403C" w:rsidRDefault="00E77951" w:rsidP="007F2104">
      <w:pPr>
        <w:jc w:val="both"/>
        <w:rPr>
          <w:sz w:val="20"/>
          <w:szCs w:val="20"/>
        </w:rPr>
      </w:pPr>
      <w:r>
        <w:rPr>
          <w:sz w:val="20"/>
          <w:szCs w:val="20"/>
        </w:rPr>
        <w:t>По расходам исполнение на 01.0</w:t>
      </w:r>
      <w:r w:rsidR="00F87B67">
        <w:rPr>
          <w:sz w:val="20"/>
          <w:szCs w:val="20"/>
        </w:rPr>
        <w:t>7</w:t>
      </w:r>
      <w:r>
        <w:rPr>
          <w:sz w:val="20"/>
          <w:szCs w:val="20"/>
        </w:rPr>
        <w:t>.202</w:t>
      </w:r>
      <w:r w:rsidR="007F2104">
        <w:rPr>
          <w:sz w:val="20"/>
          <w:szCs w:val="20"/>
        </w:rPr>
        <w:t>4</w:t>
      </w:r>
      <w:r>
        <w:rPr>
          <w:sz w:val="20"/>
          <w:szCs w:val="20"/>
        </w:rPr>
        <w:t xml:space="preserve"> год составило – </w:t>
      </w:r>
      <w:r>
        <w:rPr>
          <w:bCs/>
          <w:sz w:val="20"/>
          <w:szCs w:val="20"/>
        </w:rPr>
        <w:t xml:space="preserve">  </w:t>
      </w:r>
      <w:r w:rsidR="00A836AD" w:rsidRPr="00A836AD">
        <w:rPr>
          <w:sz w:val="20"/>
          <w:szCs w:val="20"/>
        </w:rPr>
        <w:t>240 341 001,48</w:t>
      </w:r>
      <w:r>
        <w:rPr>
          <w:sz w:val="20"/>
          <w:szCs w:val="20"/>
        </w:rPr>
        <w:t xml:space="preserve">руб. </w:t>
      </w:r>
      <w:r w:rsidR="00A836AD">
        <w:rPr>
          <w:sz w:val="20"/>
          <w:szCs w:val="20"/>
        </w:rPr>
        <w:t>и</w:t>
      </w:r>
      <w:r>
        <w:rPr>
          <w:sz w:val="20"/>
          <w:szCs w:val="20"/>
        </w:rPr>
        <w:t xml:space="preserve">ли </w:t>
      </w:r>
      <w:r w:rsidR="00A836AD">
        <w:rPr>
          <w:sz w:val="20"/>
          <w:szCs w:val="20"/>
        </w:rPr>
        <w:t>41,9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>год (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5</w:t>
      </w:r>
      <w:r w:rsidR="00A836AD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73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 xml:space="preserve"> </w:t>
      </w:r>
      <w:r w:rsidR="00A836AD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315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 xml:space="preserve"> </w:t>
      </w:r>
      <w:r w:rsidR="00A836AD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385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,</w:t>
      </w:r>
      <w:r w:rsidR="00A836AD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91</w:t>
      </w:r>
      <w:r>
        <w:rPr>
          <w:sz w:val="20"/>
          <w:szCs w:val="20"/>
        </w:rPr>
        <w:t>руб.).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Исполнение расходов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color w:val="000000"/>
          <w:sz w:val="20"/>
          <w:szCs w:val="20"/>
        </w:rPr>
        <w:t xml:space="preserve"> район» за 1</w:t>
      </w:r>
      <w:r w:rsidR="00A836AD">
        <w:rPr>
          <w:bCs/>
          <w:color w:val="000000"/>
          <w:sz w:val="20"/>
          <w:szCs w:val="20"/>
        </w:rPr>
        <w:t>полугодие</w:t>
      </w:r>
      <w:r>
        <w:rPr>
          <w:bCs/>
          <w:color w:val="000000"/>
          <w:sz w:val="20"/>
          <w:szCs w:val="20"/>
        </w:rPr>
        <w:t xml:space="preserve"> 202</w:t>
      </w:r>
      <w:r w:rsidR="007F2104">
        <w:rPr>
          <w:bCs/>
          <w:color w:val="000000"/>
          <w:sz w:val="20"/>
          <w:szCs w:val="20"/>
        </w:rPr>
        <w:t>4</w:t>
      </w:r>
      <w:r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A836AD">
        <w:rPr>
          <w:sz w:val="20"/>
          <w:szCs w:val="20"/>
        </w:rPr>
        <w:t>4</w:t>
      </w:r>
      <w:r>
        <w:rPr>
          <w:sz w:val="20"/>
          <w:szCs w:val="20"/>
        </w:rPr>
        <w:t>год приведено в таблице «Исполнение расходов бюджета».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27403C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27403C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27403C"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5952" w:vert="1" w:vertCompress="1"/>
              </w:rPr>
            </w:pPr>
            <w:r>
              <w:rPr>
                <w:color w:val="000000"/>
                <w:sz w:val="20"/>
                <w:szCs w:val="20"/>
                <w:eastAsianLayout w:id="-1731965952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  <w:p w:rsidR="0027403C" w:rsidRDefault="0027403C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836AD" w:rsidTr="0086455F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6AD" w:rsidRDefault="00A836AD" w:rsidP="00A836AD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социальной защиты населения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6AD" w:rsidRDefault="00A836AD" w:rsidP="00A836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6AD" w:rsidRPr="00A836AD" w:rsidRDefault="00A836AD" w:rsidP="00A836AD">
            <w:pPr>
              <w:rPr>
                <w:sz w:val="18"/>
                <w:szCs w:val="18"/>
              </w:rPr>
            </w:pPr>
            <w:r w:rsidRPr="00A836AD">
              <w:rPr>
                <w:sz w:val="18"/>
                <w:szCs w:val="18"/>
              </w:rPr>
              <w:t>59 246 746,64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6AD" w:rsidRPr="00A836AD" w:rsidRDefault="00A836AD" w:rsidP="00A836AD">
            <w:pPr>
              <w:rPr>
                <w:sz w:val="18"/>
                <w:szCs w:val="18"/>
              </w:rPr>
            </w:pPr>
            <w:r w:rsidRPr="00A836AD">
              <w:rPr>
                <w:sz w:val="18"/>
                <w:szCs w:val="18"/>
              </w:rPr>
              <w:t>29 843 085,82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6AD" w:rsidRPr="00A836AD" w:rsidRDefault="00A836AD" w:rsidP="00A836AD">
            <w:pPr>
              <w:rPr>
                <w:sz w:val="18"/>
                <w:szCs w:val="18"/>
              </w:rPr>
            </w:pPr>
            <w:r w:rsidRPr="00A836AD">
              <w:rPr>
                <w:sz w:val="18"/>
                <w:szCs w:val="18"/>
              </w:rPr>
              <w:t>50,4</w:t>
            </w:r>
          </w:p>
        </w:tc>
      </w:tr>
      <w:tr w:rsidR="00666852" w:rsidTr="0086455F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Default="00666852" w:rsidP="00666852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Default="00666852" w:rsidP="0066685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056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58 547 438,71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28 207 749,51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48,2</w:t>
            </w:r>
          </w:p>
        </w:tc>
      </w:tr>
      <w:tr w:rsidR="00666852" w:rsidTr="0086455F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Default="00666852" w:rsidP="00666852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 «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Default="00666852" w:rsidP="0066685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266 269 008,46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105 759 702,40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39,7</w:t>
            </w:r>
          </w:p>
        </w:tc>
      </w:tr>
      <w:tr w:rsidR="00666852" w:rsidRPr="007F2104" w:rsidTr="0086455F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Default="00666852" w:rsidP="00666852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Default="00666852" w:rsidP="0066685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189 252 192,10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76 530 463,75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40,4</w:t>
            </w:r>
          </w:p>
        </w:tc>
      </w:tr>
      <w:tr w:rsidR="00666852" w:rsidTr="00F052E7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Default="00666852" w:rsidP="00666852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Default="00666852" w:rsidP="00666852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573 315 385,91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240 341 001,48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666852" w:rsidRDefault="00666852" w:rsidP="00666852">
            <w:pPr>
              <w:rPr>
                <w:sz w:val="18"/>
                <w:szCs w:val="18"/>
              </w:rPr>
            </w:pPr>
            <w:r w:rsidRPr="00666852">
              <w:rPr>
                <w:sz w:val="18"/>
                <w:szCs w:val="18"/>
              </w:rPr>
              <w:t>41,9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муниципального района «Куйбышевский район» за 1 </w:t>
      </w:r>
      <w:r w:rsidR="00666852">
        <w:rPr>
          <w:b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202</w:t>
      </w:r>
      <w:r w:rsidR="007F2104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года.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1 </w:t>
      </w:r>
      <w:r w:rsidR="00666852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</w:t>
      </w:r>
      <w:r w:rsidR="007F2104">
        <w:rPr>
          <w:sz w:val="20"/>
          <w:szCs w:val="20"/>
        </w:rPr>
        <w:t>24</w:t>
      </w:r>
      <w:r>
        <w:rPr>
          <w:sz w:val="20"/>
          <w:szCs w:val="20"/>
        </w:rPr>
        <w:t xml:space="preserve"> года бюджет исполнен с профицитом </w:t>
      </w:r>
      <w:r>
        <w:rPr>
          <w:color w:val="000000"/>
          <w:sz w:val="20"/>
          <w:szCs w:val="20"/>
        </w:rPr>
        <w:t>-</w:t>
      </w:r>
      <w:r w:rsidR="007F2104">
        <w:rPr>
          <w:sz w:val="20"/>
          <w:szCs w:val="20"/>
        </w:rPr>
        <w:t>2</w:t>
      </w:r>
      <w:r w:rsidR="00666852">
        <w:rPr>
          <w:sz w:val="20"/>
          <w:szCs w:val="20"/>
        </w:rPr>
        <w:t xml:space="preserve">5 097 </w:t>
      </w:r>
      <w:r w:rsidR="007F2104">
        <w:rPr>
          <w:sz w:val="20"/>
          <w:szCs w:val="20"/>
        </w:rPr>
        <w:t> </w:t>
      </w:r>
      <w:r w:rsidR="00666852">
        <w:rPr>
          <w:sz w:val="20"/>
          <w:szCs w:val="20"/>
        </w:rPr>
        <w:t>358</w:t>
      </w:r>
      <w:r w:rsidR="007F2104">
        <w:rPr>
          <w:sz w:val="20"/>
          <w:szCs w:val="20"/>
        </w:rPr>
        <w:t>,86 </w:t>
      </w:r>
      <w:r>
        <w:rPr>
          <w:sz w:val="20"/>
          <w:szCs w:val="20"/>
        </w:rPr>
        <w:t>руб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27403C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666852" w:rsidP="0066685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6 108 372,91</w:t>
            </w:r>
            <w:r w:rsidR="00384947" w:rsidRPr="0038494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666852" w:rsidP="0066685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-25 097 358,86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Программные и непрограммные направления деятельности МР «Куйбышевский район» за </w:t>
      </w:r>
      <w:r w:rsidR="00666852">
        <w:rPr>
          <w:b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202</w:t>
      </w:r>
      <w:r w:rsidR="00384947">
        <w:rPr>
          <w:b/>
          <w:sz w:val="20"/>
          <w:szCs w:val="20"/>
        </w:rPr>
        <w:t>4</w:t>
      </w:r>
      <w:r w:rsidR="00666852">
        <w:rPr>
          <w:b/>
          <w:sz w:val="20"/>
          <w:szCs w:val="20"/>
        </w:rPr>
        <w:t>г</w:t>
      </w:r>
      <w:r>
        <w:rPr>
          <w:b/>
          <w:sz w:val="20"/>
          <w:szCs w:val="20"/>
        </w:rPr>
        <w:t>ода.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8615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597"/>
        <w:gridCol w:w="1415"/>
        <w:gridCol w:w="1364"/>
        <w:gridCol w:w="1355"/>
        <w:gridCol w:w="1305"/>
      </w:tblGrid>
      <w:tr w:rsidR="0027403C" w:rsidTr="00140E11">
        <w:trPr>
          <w:trHeight w:val="23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1576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Утверждена на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1576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Уточненный план на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666852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Исполнено  за </w:t>
            </w:r>
            <w:r w:rsidR="00666852">
              <w:rPr>
                <w:color w:val="000000"/>
                <w:sz w:val="20"/>
                <w:szCs w:val="20"/>
                <w:lang w:eastAsia="ru-RU"/>
              </w:rPr>
              <w:t>по-е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 исполнения к уточн. плану</w:t>
            </w:r>
          </w:p>
        </w:tc>
      </w:tr>
      <w:tr w:rsidR="0066685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6852" w:rsidRPr="00915767" w:rsidRDefault="00666852" w:rsidP="0066685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Pr="00915767" w:rsidRDefault="00666852" w:rsidP="0066685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образования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»2021-2026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247 520 842,53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228 432 294,76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97 876 160,17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42,8</w:t>
            </w:r>
          </w:p>
        </w:tc>
      </w:tr>
      <w:tr w:rsidR="0066685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6852" w:rsidRPr="00915767" w:rsidRDefault="00666852" w:rsidP="0066685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Pr="00915767" w:rsidRDefault="00666852" w:rsidP="0066685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»2020-2022»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71 414 146,00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71 757 046,00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33 447 306,97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46,6</w:t>
            </w:r>
          </w:p>
        </w:tc>
      </w:tr>
      <w:tr w:rsidR="0066685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6852" w:rsidRPr="00915767" w:rsidRDefault="00666852" w:rsidP="0066685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915767" w:rsidRDefault="00666852" w:rsidP="00666852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  Муниципальная программа "Развитие рынка труда в Куйбышевском районе на 2024 - 2028 годы"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198 880,68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56,8</w:t>
            </w:r>
          </w:p>
        </w:tc>
      </w:tr>
      <w:tr w:rsidR="00915767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5767" w:rsidRPr="00915767" w:rsidRDefault="00915767" w:rsidP="0091576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outlineLvl w:val="0"/>
              <w:rPr>
                <w:rFonts w:ascii="Arial Cyr" w:hAnsi="Arial Cyr" w:cs="Calibri"/>
                <w:color w:val="000000"/>
                <w:sz w:val="18"/>
                <w:szCs w:val="18"/>
              </w:rPr>
            </w:pPr>
            <w:r w:rsidRPr="0091576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 Осуществление государственного полномочия по осуществлению уведомительной регистрации территориальных соглашение и коллективных договоров</w:t>
            </w:r>
          </w:p>
          <w:p w:rsidR="00915767" w:rsidRPr="00915767" w:rsidRDefault="00915767" w:rsidP="00915767">
            <w:pPr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0E11" w:rsidRDefault="00915767" w:rsidP="0091576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10 846,00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0E11" w:rsidRDefault="00915767" w:rsidP="0091576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10 846,00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0E11" w:rsidRDefault="00915767" w:rsidP="0091576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0E11" w:rsidRDefault="00915767" w:rsidP="0091576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66685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6852" w:rsidRPr="00915767" w:rsidRDefault="00666852" w:rsidP="0066685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Pr="00915767" w:rsidRDefault="00666852" w:rsidP="0066685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Муниципальная программа "Обеспечение безопасности жизнедеятельности населения муниципального района "Куйбышевский район"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6 265 000,00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6 369 070,00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2 859 433,12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44,9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физической культуры , спорта  и самодеятельного туризма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54 000,00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54 000,00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4 440,00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24,8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«Развитие культуры 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Куйбышевского района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53 487 805,00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51 893 388,71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25 159 485,92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48,5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 Проведение отдельных мероприятий в части осуществления транспортного обслуживания населения на территории Куйбышевского района Калужской области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МП «О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490 000,00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490 000,00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118 404,00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24,2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  Развитие системы обслуживания проживающих в специальном Доме  социаль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lastRenderedPageBreak/>
              <w:t>ного обслуживания для ветеранов войны и труда, одиноких и престарелых граждан»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lastRenderedPageBreak/>
              <w:t>3 107 800,00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3 107 800,00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1 732 665,55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55,8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«Обеспечение жильем молодых семей в МР 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1 632 260,02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1 260 000,00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1 260 000,00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100,0</w:t>
            </w:r>
          </w:p>
        </w:tc>
      </w:tr>
      <w:tr w:rsidR="00D80BB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развития российского казачества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25 000,00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82091">
              <w:rPr>
                <w:color w:val="000000"/>
                <w:sz w:val="18"/>
                <w:szCs w:val="18"/>
                <w:lang w:eastAsia="ru-RU"/>
              </w:rPr>
              <w:t>Муниципальная программа " Укрепление общественного здоровья населения муниципального района "Куйбышевский район"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МП «Комплексное развитие систем коммунальной инфраструктуры МО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30 000,00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5,0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82091">
              <w:rPr>
                <w:color w:val="000000"/>
                <w:sz w:val="18"/>
                <w:szCs w:val="18"/>
                <w:lang w:eastAsia="ru-RU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13 475 562,57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35 740 375,16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7 146 804,64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20,0</w:t>
            </w:r>
          </w:p>
        </w:tc>
      </w:tr>
      <w:tr w:rsidR="00D80BB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 w:rsidR="00282091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2 679 000,00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7 339 571,44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504 000,00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6,9</w:t>
            </w:r>
          </w:p>
        </w:tc>
      </w:tr>
      <w:tr w:rsidR="00D80BB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 w:rsidR="00282091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1 500 000,00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2 492 317,36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564 990,00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22,7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Организация бытового обслуживания в целях обеспечения населения Куйбышевского района услугами муниципальной бани»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290 000,00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48,3</w:t>
            </w:r>
          </w:p>
        </w:tc>
      </w:tr>
      <w:tr w:rsidR="0027403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915767" w:rsidRDefault="00E7795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 w:rsidR="00282091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МП«Повышение инвестиционной привлекательности территории МР «Куйбышевский район»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40E11" w:rsidRDefault="0027403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40E11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140E11">
              <w:rPr>
                <w:color w:val="000000"/>
                <w:sz w:val="18"/>
                <w:szCs w:val="18"/>
                <w:lang w:eastAsia="ru-RU"/>
              </w:rPr>
              <w:t>1000000,00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40E11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140E11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40E11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140E11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«Управление и распоряжение муниципальным имуществом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1 358 687,00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2 975 045,15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1 232 087,17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41,4</w:t>
            </w:r>
          </w:p>
        </w:tc>
      </w:tr>
      <w:tr w:rsidR="00D80BB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 w:rsidR="007B2050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91576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внутреннего и въездного туризма на территории 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475 874,25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516 188,36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«Молодежь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737 400,00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993 045,30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660 022,50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66,5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B2050">
              <w:rPr>
                <w:color w:val="000000"/>
                <w:sz w:val="18"/>
                <w:szCs w:val="18"/>
                <w:lang w:eastAsia="ru-RU"/>
              </w:rPr>
              <w:t xml:space="preserve">      Реализация школьных инициатив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8 310 590,00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11 782 409,50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3 941 683,39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33,5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«Совершенствование системы управления общественными финансами в  Куйбышевском районе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43 754 266,00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46 396 266,00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23 058 643,08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49,7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3 100 000,00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3 100 000,00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1 549 999,98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50,0</w:t>
            </w:r>
          </w:p>
        </w:tc>
      </w:tr>
      <w:tr w:rsidR="00595C9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5C92" w:rsidRPr="00915767" w:rsidRDefault="00595C92" w:rsidP="00595C9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92" w:rsidRPr="00915767" w:rsidRDefault="00595C92" w:rsidP="00595C9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 «Развитие муниципаль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ной службы и совершенствование методов решения вопросов местного значения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lastRenderedPageBreak/>
              <w:t>39 990 304,00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44 324 912,00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22 275 852,27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50,3</w:t>
            </w:r>
          </w:p>
        </w:tc>
      </w:tr>
      <w:tr w:rsidR="008D2EA5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7B2050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100 000,</w:t>
            </w:r>
            <w:r w:rsidR="00595C92"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123 000,00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595C92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77 430,62</w:t>
            </w:r>
            <w:r w:rsidRPr="00140E11">
              <w:rPr>
                <w:sz w:val="18"/>
                <w:szCs w:val="18"/>
              </w:rPr>
              <w:tab/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595C92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63,0</w:t>
            </w:r>
          </w:p>
        </w:tc>
      </w:tr>
      <w:tr w:rsidR="008D2EA5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595C92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«О мерах по улучшению условий  и охраны труда в учреждениях и организациях 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595C9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5C92" w:rsidRDefault="00595C92" w:rsidP="00595C9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92" w:rsidRPr="00915767" w:rsidRDefault="00595C92" w:rsidP="00595C92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95C92">
              <w:rPr>
                <w:color w:val="000000"/>
                <w:sz w:val="18"/>
                <w:szCs w:val="18"/>
                <w:lang w:eastAsia="ru-RU"/>
              </w:rPr>
              <w:t xml:space="preserve">  Муниципальная программа "Профилактика терроризма и экстремизма в муниципальном районе "Куйбышевский район"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32 000,00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595C9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5C92" w:rsidRPr="00915767" w:rsidRDefault="00595C92" w:rsidP="00595C9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92" w:rsidRPr="00915767" w:rsidRDefault="00595C92" w:rsidP="00595C92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и развитие услуг в сфере похоронного дела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49 880,00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33,3</w:t>
            </w:r>
            <w:bookmarkStart w:id="0" w:name="_GoBack"/>
            <w:bookmarkEnd w:id="0"/>
          </w:p>
        </w:tc>
      </w:tr>
      <w:tr w:rsidR="00595C9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5C92" w:rsidRPr="00915767" w:rsidRDefault="00595C92" w:rsidP="00595C9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92" w:rsidRPr="00915767" w:rsidRDefault="00595C92" w:rsidP="00595C9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МП «Отходы производства и потребления в МР «Куйбышевский район»»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1 025 677,54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1 025 677,54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386 801,59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37,7</w:t>
            </w:r>
          </w:p>
        </w:tc>
      </w:tr>
      <w:tr w:rsidR="00140E1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0E11" w:rsidRPr="00915767" w:rsidRDefault="00140E11" w:rsidP="00140E1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E11" w:rsidRPr="00915767" w:rsidRDefault="00140E11" w:rsidP="00140E1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2 699 092,00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38 724 277,93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9 303 374,49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24,0</w:t>
            </w:r>
          </w:p>
        </w:tc>
      </w:tr>
      <w:tr w:rsidR="00140E1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0E11" w:rsidRPr="00915767" w:rsidRDefault="00140E11" w:rsidP="00140E1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E11" w:rsidRPr="00915767" w:rsidRDefault="00140E11" w:rsidP="00140E1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Итого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520 949 452,91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573 315 385,91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240 341 001,48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41,9</w:t>
            </w:r>
          </w:p>
        </w:tc>
      </w:tr>
    </w:tbl>
    <w:p w:rsidR="0027403C" w:rsidRPr="00915767" w:rsidRDefault="0027403C">
      <w:pPr>
        <w:pStyle w:val="Standard"/>
        <w:ind w:firstLine="540"/>
        <w:jc w:val="center"/>
        <w:rPr>
          <w:b/>
          <w:sz w:val="18"/>
          <w:szCs w:val="18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1</w:t>
      </w:r>
      <w:r w:rsidR="00140E11"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</w:rPr>
        <w:t xml:space="preserve"> муниципальным программам,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>Проведенным анализом соответствия нормативно-правовой основы МР</w:t>
      </w:r>
      <w:r>
        <w:t xml:space="preserve"> « </w:t>
      </w:r>
      <w:r>
        <w:rPr>
          <w:color w:val="000000"/>
        </w:rPr>
        <w:t>Куйбышевский район</w:t>
      </w:r>
      <w:r>
        <w:rPr>
          <w:rFonts w:ascii="Times New Roman" w:hAnsi="Times New Roman" w:cs="Times New Roman"/>
        </w:rPr>
        <w:t xml:space="preserve">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E77951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Проекта замечания отсутствуют. Фактов недостоверных отчетных данных и искажений бюджетной отчетности за 1</w:t>
      </w:r>
      <w:r w:rsidR="00140E11"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202</w:t>
      </w:r>
      <w:r w:rsidR="00915767">
        <w:rPr>
          <w:sz w:val="20"/>
          <w:szCs w:val="20"/>
        </w:rPr>
        <w:t>4</w:t>
      </w:r>
      <w:r>
        <w:rPr>
          <w:sz w:val="20"/>
          <w:szCs w:val="20"/>
        </w:rPr>
        <w:t>года не установлено.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sz w:val="20"/>
          <w:szCs w:val="20"/>
        </w:rPr>
        <w:t>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 </w:t>
      </w:r>
      <w:r w:rsidR="00140E11">
        <w:rPr>
          <w:bCs/>
          <w:sz w:val="20"/>
          <w:szCs w:val="20"/>
        </w:rPr>
        <w:t>полугодие</w:t>
      </w:r>
      <w:r>
        <w:rPr>
          <w:bCs/>
          <w:sz w:val="20"/>
          <w:szCs w:val="20"/>
        </w:rPr>
        <w:t xml:space="preserve"> 202</w:t>
      </w:r>
      <w:r w:rsidR="00915767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 xml:space="preserve"> года </w:t>
      </w:r>
      <w:r>
        <w:rPr>
          <w:sz w:val="20"/>
          <w:szCs w:val="20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 Л.А.Козлова</w:t>
      </w:r>
    </w:p>
    <w:sectPr w:rsidR="0027403C">
      <w:footerReference w:type="default" r:id="rId12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5D6" w:rsidRDefault="007375D6">
      <w:r>
        <w:separator/>
      </w:r>
    </w:p>
  </w:endnote>
  <w:endnote w:type="continuationSeparator" w:id="0">
    <w:p w:rsidR="007375D6" w:rsidRDefault="0073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124" w:rsidRDefault="0069412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694124" w:rsidRDefault="00694124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0D04C9">
                            <w:rPr>
                              <w:rStyle w:val="aa"/>
                              <w:noProof/>
                            </w:rPr>
                            <w:t>7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694124" w:rsidRDefault="00694124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0D04C9">
                      <w:rPr>
                        <w:rStyle w:val="aa"/>
                        <w:noProof/>
                      </w:rPr>
                      <w:t>7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5D6" w:rsidRDefault="007375D6">
      <w:r>
        <w:rPr>
          <w:color w:val="000000"/>
        </w:rPr>
        <w:separator/>
      </w:r>
    </w:p>
  </w:footnote>
  <w:footnote w:type="continuationSeparator" w:id="0">
    <w:p w:rsidR="007375D6" w:rsidRDefault="007375D6">
      <w:r>
        <w:continuationSeparator/>
      </w:r>
    </w:p>
  </w:footnote>
  <w:footnote w:id="1">
    <w:p w:rsidR="00694124" w:rsidRDefault="00694124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694124" w:rsidRDefault="00694124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694124" w:rsidRDefault="00694124">
      <w:pPr>
        <w:pStyle w:val="Footnote"/>
        <w:jc w:val="both"/>
        <w:rPr>
          <w:sz w:val="18"/>
          <w:szCs w:val="18"/>
        </w:rPr>
      </w:pPr>
      <w:r>
        <w:rPr>
          <w:rStyle w:val="ac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 2022г. № 120(с изм. ) .</w:t>
      </w:r>
    </w:p>
  </w:footnote>
  <w:footnote w:id="4">
    <w:p w:rsidR="00694124" w:rsidRDefault="00694124">
      <w:pPr>
        <w:pStyle w:val="1"/>
        <w:shd w:val="clear" w:color="auto" w:fill="FFFFFF"/>
        <w:spacing w:before="0" w:after="0"/>
        <w:jc w:val="both"/>
      </w:pPr>
      <w:r>
        <w:rPr>
          <w:rStyle w:val="ac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0D04C9"/>
    <w:rsid w:val="000D2335"/>
    <w:rsid w:val="000E3BC2"/>
    <w:rsid w:val="00101C50"/>
    <w:rsid w:val="00140E11"/>
    <w:rsid w:val="001422AC"/>
    <w:rsid w:val="00234D77"/>
    <w:rsid w:val="0027403C"/>
    <w:rsid w:val="00282091"/>
    <w:rsid w:val="002C348D"/>
    <w:rsid w:val="00384947"/>
    <w:rsid w:val="00400F24"/>
    <w:rsid w:val="00412029"/>
    <w:rsid w:val="0042609D"/>
    <w:rsid w:val="00427860"/>
    <w:rsid w:val="004A1E48"/>
    <w:rsid w:val="004E61FE"/>
    <w:rsid w:val="005549C4"/>
    <w:rsid w:val="00595C92"/>
    <w:rsid w:val="0061422B"/>
    <w:rsid w:val="006600FE"/>
    <w:rsid w:val="00665965"/>
    <w:rsid w:val="00666852"/>
    <w:rsid w:val="00694124"/>
    <w:rsid w:val="007375D6"/>
    <w:rsid w:val="007B2050"/>
    <w:rsid w:val="007B4593"/>
    <w:rsid w:val="007F2104"/>
    <w:rsid w:val="0086455F"/>
    <w:rsid w:val="00877747"/>
    <w:rsid w:val="00880DAE"/>
    <w:rsid w:val="008A23F6"/>
    <w:rsid w:val="008D01D4"/>
    <w:rsid w:val="008D2EA5"/>
    <w:rsid w:val="0090012C"/>
    <w:rsid w:val="0090151B"/>
    <w:rsid w:val="00915767"/>
    <w:rsid w:val="00A836AD"/>
    <w:rsid w:val="00AD45CE"/>
    <w:rsid w:val="00B37440"/>
    <w:rsid w:val="00C12607"/>
    <w:rsid w:val="00C34B96"/>
    <w:rsid w:val="00C36A9B"/>
    <w:rsid w:val="00C87C62"/>
    <w:rsid w:val="00D24517"/>
    <w:rsid w:val="00D35C16"/>
    <w:rsid w:val="00D80BBC"/>
    <w:rsid w:val="00E77951"/>
    <w:rsid w:val="00E954EE"/>
    <w:rsid w:val="00F8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344B1"/>
  <w15:docId w15:val="{7A040641-5465-46E9-87C5-C95449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15767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1576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2768</Words>
  <Characters>15782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привет</cp:lastModifiedBy>
  <cp:revision>13</cp:revision>
  <cp:lastPrinted>2024-07-23T12:13:00Z</cp:lastPrinted>
  <dcterms:created xsi:type="dcterms:W3CDTF">2019-04-19T12:42:00Z</dcterms:created>
  <dcterms:modified xsi:type="dcterms:W3CDTF">2024-07-23T12:14:00Z</dcterms:modified>
</cp:coreProperties>
</file>