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4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4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  <w:p>
            <w:pPr>
              <w:pStyle w:val="style4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7 декабря 2020</w:t>
            </w:r>
            <w:r>
              <w:rPr>
                <w:sz w:val="20"/>
                <w:szCs w:val="20"/>
              </w:rPr>
              <w:t xml:space="preserve">№ 32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</w:tbl>
    <w:p>
      <w:pPr>
        <w:pStyle w:val="style4"/>
        <w:jc w:val="center"/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style4"/>
        <w:jc w:val="center"/>
      </w:pPr>
    </w:p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z w:val="28"/>
          <w:szCs w:val="28"/>
          <w:spacing w:val="52"/>
        </w:rPr>
        <w:t xml:space="preserve">ЗАКЛЮЧЕ</w:t>
      </w:r>
      <w:r>
        <w:rPr>
          <w:b/>
          <w:sz w:val="28"/>
          <w:szCs w:val="28"/>
          <w:spacing w:val="52"/>
        </w:rPr>
        <w:t xml:space="preserve">НИЕ</w:t>
      </w:r>
    </w:p>
    <w:p>
      <w:pPr>
        <w:pStyle w:val="style4"/>
        <w:jc w:val="center"/>
      </w:pPr>
      <w:r>
        <w:rPr>
          <w:b/>
        </w:rPr>
        <w:t xml:space="preserve">на проект решения Сельской Думы </w:t>
      </w:r>
    </w:p>
    <w:p>
      <w:pPr>
        <w:pStyle w:val="style4"/>
        <w:jc w:val="center"/>
      </w:pPr>
      <w:r>
        <w:rPr>
          <w:b/>
        </w:rPr>
        <w:t xml:space="preserve">сельского поселения «</w:t>
      </w:r>
      <w:r>
        <w:rPr>
          <w:b/>
        </w:rPr>
        <w:t xml:space="preserve">Деревня Высокое</w:t>
      </w:r>
      <w:r>
        <w:rPr>
          <w:b/>
        </w:rPr>
        <w:t xml:space="preserve">»</w:t>
      </w:r>
    </w:p>
    <w:p>
      <w:pPr>
        <w:pStyle w:val="style4"/>
        <w:jc w:val="center"/>
      </w:pPr>
      <w:r>
        <w:rPr>
          <w:b/>
          <w:bCs/>
        </w:rPr>
        <w:t xml:space="preserve">«О бюджете сельского поселения «</w:t>
      </w:r>
      <w:r>
        <w:rPr>
          <w:b/>
          <w:bCs/>
        </w:rPr>
        <w:t xml:space="preserve">Деревня Высокое</w:t>
      </w:r>
      <w:r>
        <w:rPr>
          <w:b/>
          <w:bCs/>
        </w:rPr>
        <w:t xml:space="preserve">»</w:t>
      </w:r>
    </w:p>
    <w:p>
      <w:pPr>
        <w:pStyle w:val="style4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-202</w:t>
      </w:r>
      <w:r>
        <w:rPr>
          <w:b/>
        </w:rPr>
        <w:t xml:space="preserve">3</w:t>
      </w:r>
      <w:r>
        <w:rPr>
          <w:b/>
        </w:rPr>
        <w:t xml:space="preserve"> годов</w:t>
      </w:r>
      <w:r>
        <w:rPr>
          <w:b/>
          <w:bCs/>
        </w:rPr>
        <w:t xml:space="preserve">»</w:t>
      </w:r>
    </w:p>
    <w:p>
      <w:pPr>
        <w:pStyle w:val="style4"/>
        <w:jc w:val="center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bCs/>
        </w:rPr>
        <w:t xml:space="preserve">Заключение на проект решения Сельской Думы сельского поселения «</w:t>
      </w:r>
      <w:r>
        <w:rPr>
          <w:b w:val="false"/>
          <w:bCs w:val="false"/>
        </w:rPr>
        <w:t xml:space="preserve">Деревня Высокое</w:t>
      </w:r>
      <w:r>
        <w:rPr>
          <w:bCs/>
        </w:rPr>
        <w:t xml:space="preserve">» «О бюджете сельского поселения «</w:t>
      </w:r>
      <w:r>
        <w:rPr>
          <w:b w:val="false"/>
          <w:bCs w:val="false"/>
        </w:rPr>
        <w:t xml:space="preserve">Деревня Высокое</w:t>
      </w:r>
      <w:r>
        <w:rPr>
          <w:bCs/>
        </w:rPr>
        <w:t xml:space="preserve">» 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-202</w:t>
      </w:r>
      <w:r>
        <w:rPr>
          <w:bCs/>
        </w:rPr>
        <w:t xml:space="preserve">3</w:t>
      </w:r>
      <w:r>
        <w:rPr>
          <w:bCs/>
        </w:rPr>
        <w:t xml:space="preserve"> годов» </w:t>
        <w:t xml:space="preserve"> </w:t>
        <w:t xml:space="preserve">подготовлено Контрольно - счетным органом муниципального района «</w:t>
      </w:r>
      <w:r>
        <w:rPr>
          <w:bCs/>
        </w:rPr>
        <w:t xml:space="preserve">Куйбышевский</w:t>
      </w:r>
      <w:r>
        <w:rPr>
          <w:bCs/>
        </w:rPr>
        <w:t xml:space="preserve"> район» (далее - КСО) на </w:t>
      </w:r>
      <w:r>
        <w:t xml:space="preserve">основании статей 152, 157 и 265 </w:t>
      </w:r>
      <w:hyperlink r:id="rHpId1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«Бюджетного кодекса Российской Федерации» от 31.07.1998 года № 145-ФЗ</w:t>
        </w:r>
      </w:hyperlink>
      <w:r>
        <w:rPr>
          <w:rStyle w:val="style20"/>
        </w:rPr>
      </w:r>
      <w:r>
        <w:rPr>
          <w:bCs/>
        </w:rPr>
      </w:r>
      <w:r>
        <w:rPr>
          <w:bCs/>
        </w:rPr>
        <w:rPr>
          <w:rStyle w:val="style31"/>
        </w:rPr>
        <w:footnoteReference w:customMarkFollows="1" w:id="1"/>
        <w:t xml:space="preserve">1</w:t>
      </w:r>
      <w:r>
        <w:t xml:space="preserve"> (далее БК РФ), </w:t>
      </w:r>
      <w:r>
        <w:rPr>
          <w:iCs/>
        </w:rPr>
        <w:t xml:space="preserve">ст. 12, Решения Сельской Думы </w:t>
      </w:r>
      <w:r>
        <w:rPr>
          <w:lang w:eastAsia="ru-RU"/>
        </w:rPr>
        <w:t xml:space="preserve">о бюджетном процессе в сельском поселении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 </w:t>
      </w:r>
      <w:r>
        <w:t xml:space="preserve">от 14 .12.2005 № 18</w:t>
      </w:r>
      <w:r>
        <w:t xml:space="preserve">(далее – Положение), </w:t>
      </w:r>
      <w:r>
        <w:t xml:space="preserve">Соглашением о передаче полномочий от МО СП </w:t>
      </w:r>
      <w:r>
        <w:rPr>
          <w:bCs/>
        </w:rPr>
        <w:t xml:space="preserve">«</w:t>
      </w:r>
      <w:r>
        <w:rPr>
          <w:b w:val="false"/>
          <w:bCs w:val="false"/>
        </w:rPr>
        <w:t xml:space="preserve">Деревня Высокое</w:t>
      </w:r>
      <w:r>
        <w:rPr>
          <w:bCs/>
        </w:rPr>
        <w:t xml:space="preserve">» от 29.04.2016 № 3,</w:t>
      </w:r>
      <w:hyperlink r:id="rHpId2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ст. 8, Решения Районного Собрани</w:t>
        </w:r>
      </w:hyperlink>
      <w:hyperlink r:id="rHpId3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я </w:t>
        </w:r>
      </w:hyperlink>
      <w:hyperlink r:id="rHpId4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</w:t>
          <w:t xml:space="preserve">МО «</w:t>
        </w:r>
      </w:hyperlink>
      <w:hyperlink r:id="rHpId5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Куйбышевский</w:t>
        </w:r>
      </w:hyperlink>
      <w:hyperlink r:id="rHpId6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район» от </w:t>
        </w:r>
      </w:hyperlink>
      <w:hyperlink r:id="rHpId7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30</w:t>
        </w:r>
      </w:hyperlink>
      <w:hyperlink r:id="rHpId8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.</w:t>
        </w:r>
      </w:hyperlink>
      <w:hyperlink r:id="rHpId9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08</w:t>
        </w:r>
      </w:hyperlink>
      <w:hyperlink r:id="rHpId10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.201</w:t>
        </w:r>
      </w:hyperlink>
      <w:hyperlink r:id="rHpId11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8</w:t>
        </w:r>
      </w:hyperlink>
      <w:hyperlink r:id="rHpId12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г. № 2</w:t>
        </w:r>
      </w:hyperlink>
      <w:hyperlink r:id="rHpId13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20</w:t>
        </w:r>
      </w:hyperlink>
      <w:hyperlink r:id="rHpId14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«Об утверждении Положения о контрольно-счетном органе </w:t>
        </w:r>
      </w:hyperlink>
      <w:hyperlink r:id="rHpId15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bCs/>
            <w:iCs/>
            <w:u w:val="none"/>
            <w:color w:val="000000"/>
          </w:rPr>
          <w:t xml:space="preserve">муниципального района</w:t>
        </w:r>
      </w:hyperlink>
      <w:hyperlink r:id="rHpId16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« </w:t>
        </w:r>
      </w:hyperlink>
      <w:hyperlink r:id="rHpId17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bCs/>
            <w:iCs/>
            <w:u w:val="none"/>
            <w:color w:val="000000"/>
          </w:rPr>
          <w:t xml:space="preserve">Куйбышевский</w:t>
        </w:r>
      </w:hyperlink>
      <w:hyperlink r:id="rHpId18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район» Калуж</w:t>
        </w:r>
      </w:hyperlink>
      <w:hyperlink r:id="rHpId19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ской</w:t>
        </w:r>
      </w:hyperlink>
      <w:hyperlink r:id="rHpId20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области»</w:t>
        </w:r>
      </w:hyperlink>
      <w:r>
        <w:t xml:space="preserve">, </w:t>
      </w:r>
      <w:hyperlink r:id="rHpId21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Планом работы КСО МР «</w:t>
        </w:r>
      </w:hyperlink>
      <w:hyperlink r:id="rHpId22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Куйбышев</w:t>
        </w:r>
      </w:hyperlink>
      <w:hyperlink r:id="rHpId23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ский район» на 20</w:t>
        </w:r>
      </w:hyperlink>
      <w:hyperlink r:id="rHpId24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20</w:t>
        </w:r>
      </w:hyperlink>
      <w:hyperlink r:id="rHpId25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 год</w:t>
        </w:r>
      </w:hyperlink>
      <w:r>
        <w:t xml:space="preserve">.</w:t>
      </w:r>
    </w:p>
    <w:p>
      <w:pPr>
        <w:pStyle w:val="style6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1. Общие положения.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6"/>
        <w:jc w:val="both"/>
        <w:spacing w:after="0" w:before="0"/>
        <w:ind w:left="0" w:right="0" w:firstLine="540"/>
      </w:pPr>
      <w:r>
        <w:rPr>
          <w:b/>
        </w:rPr>
        <w:t xml:space="preserve">Цель</w:t>
      </w:r>
      <w:r>
        <w:t xml:space="preserve"> мероприятия: 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</w:r>
      <w:r>
        <w:rPr>
          <w:spacing w:val="2"/>
          <w:color w:val="000000"/>
        </w:rPr>
        <w:t xml:space="preserve">определение достоверности и обоснованности формирования проекта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2"/>
          <w:color w:val="000000"/>
        </w:rPr>
        <w:t xml:space="preserve">на очередной финансовый год</w:t>
      </w:r>
      <w:r>
        <w:rPr>
          <w:spacing w:val="2"/>
          <w:color w:val="339966"/>
        </w:rPr>
        <w:t xml:space="preserve"> </w:t>
      </w:r>
      <w:r>
        <w:rPr>
          <w:spacing w:val="2"/>
        </w:rPr>
        <w:t xml:space="preserve">и на плановый период</w:t>
      </w:r>
      <w:r>
        <w:t xml:space="preserve">, в том числе: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обоснованность доходных статей Проекта бюджета, наличие и соблюдение нормативных правовых актов, используемых при расчетах по статьям классификации доходов</w:t>
      </w:r>
      <w:r>
        <w:rPr>
          <w:spacing w:val="-3"/>
        </w:rPr>
        <w:t xml:space="preserve"> </w:t>
      </w:r>
      <w:r>
        <w:t xml:space="preserve">бюджета;</w:t>
      </w:r>
    </w:p>
    <w:p>
      <w:pPr>
        <w:pStyle w:val="style11"/>
        <w:jc w:val="both"/>
        <w:ind w:left="0" w:right="0" w:firstLine="540"/>
        <w:tabs>
          <w:tab w:pos="1030" w:val="left"/>
        </w:tabs>
        <w:numPr>
          <w:ilvl w:val="0"/>
          <w:numId w:val="1"/>
        </w:numPr>
      </w:pPr>
      <w:r>
        <w:rPr>
          <w:sz w:val="24"/>
          <w:lang w:val="ru-RU"/>
        </w:rPr>
        <w:t xml:space="preserve">анализ расходных статей Проекта бюджета в разрезе разделов функциональной классификации расходов и главных распорядителей бюджетных средств, наличие и соблюдение нормативных правовых актов, используемых при расчетах расходов бюджета;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анализ предельного объема муниципального долга и предельного объема расходов на его</w:t>
      </w:r>
      <w:r>
        <w:rPr>
          <w:spacing w:val="-2"/>
        </w:rPr>
        <w:t xml:space="preserve"> </w:t>
      </w:r>
      <w:r>
        <w:t xml:space="preserve">обслуживание.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2"/>
        </w:rPr>
        <w:t xml:space="preserve">Задачи </w:t>
      </w:r>
      <w:r>
        <w:rPr>
          <w:spacing w:val="2"/>
        </w:rPr>
        <w:t xml:space="preserve">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соответствия действующему законодательству проекта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на очередной финансовый год и на плановый период, а также документов и </w:t>
      </w:r>
      <w:r>
        <w:rPr>
          <w:spacing w:val="2"/>
        </w:rPr>
        <w:t xml:space="preserve">материалов,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обоснованности и достоверности показателей, содержащихся в проекте закона о бюджете на очередной финансовый год и на плановый период, документах и материалах,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оценка качества прогнозирования доходов бюджета, расходования бюджетных средств, инвестиционной и долговой политики, а также межбюджетных отношений.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3"/>
        </w:rPr>
        <w:t xml:space="preserve">Предмет</w:t>
      </w:r>
      <w:r>
        <w:rPr>
          <w:spacing w:val="3"/>
        </w:rPr>
        <w:t xml:space="preserve"> 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проект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3"/>
        </w:rPr>
        <w:t xml:space="preserve">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</w:t>
      </w:r>
      <w:r>
        <w:rPr>
          <w:spacing w:val="3"/>
          <w:color w:val="000000"/>
        </w:rPr>
        <w:t xml:space="preserve">документы и материалы, представляемые одновременно с проектом в Сельскую Думу включая</w:t>
      </w:r>
      <w:r>
        <w:rPr>
          <w:spacing w:val="3"/>
        </w:rPr>
        <w:t xml:space="preserve"> прогноз социально-экономического развития </w:t>
      </w:r>
      <w:r>
        <w:rPr>
          <w:sz w:val="26"/>
          <w:szCs w:val="26"/>
        </w:rPr>
        <w:t xml:space="preserve">Поселения</w:t>
      </w:r>
      <w:r>
        <w:rPr>
          <w:spacing w:val="3"/>
        </w:rP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методики и расчёты распределения межбюджетных трансфертов.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Объекты</w:t>
      </w:r>
      <w:r>
        <w:t xml:space="preserve"> предварительного контроля формирования проекта о бюджете на очередной финансовый год</w:t>
      </w:r>
      <w:r>
        <w:rPr>
          <w:color w:val="339966"/>
        </w:rPr>
        <w:t xml:space="preserve"> </w:t>
      </w:r>
      <w:r>
        <w:t xml:space="preserve">и на плановый период: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финансов</w:t>
      </w:r>
      <w:r>
        <w:rPr>
          <w:spacing w:val="2"/>
        </w:rPr>
        <w:t xml:space="preserve">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экономики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другие объекты бюджетного планирования, главные администраторы доходов </w:t>
      </w:r>
      <w:r>
        <w:rPr>
          <w:sz w:val="26"/>
          <w:szCs w:val="26"/>
        </w:rPr>
        <w:t xml:space="preserve">Поселения</w:t>
      </w:r>
      <w:r>
        <w:t xml:space="preserve">, главные распорядители средств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t xml:space="preserve">и иные участники бюджетного процесса (выборочно). 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  <w:bCs/>
        </w:rPr>
        <w:t xml:space="preserve">Срок</w:t>
      </w:r>
      <w:r>
        <w:rPr>
          <w:bCs/>
        </w:rPr>
        <w:t xml:space="preserve"> подготовки и представления заключения КСО устанавливаются на основании Бюджетного кодекса Российской Федерации и в соответствии с Положением о бюджетном процессе в </w:t>
      </w:r>
      <w:r>
        <w:rPr>
          <w:sz w:val="26"/>
          <w:szCs w:val="26"/>
        </w:rPr>
        <w:t xml:space="preserve">Поселении</w:t>
      </w:r>
      <w:r>
        <w:rPr>
          <w:bCs/>
        </w:rP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«О бюджете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годов» представлен в Сельскую Думу и в контрольно-счетный орган МР «</w:t>
      </w:r>
      <w:r>
        <w:rPr>
          <w:spacing w:val="2"/>
        </w:rPr>
        <w:t xml:space="preserve"> </w:t>
      </w:r>
      <w:r>
        <w:rPr>
          <w:bCs/>
          <w:spacing w:val="2"/>
        </w:rPr>
        <w:t xml:space="preserve">Куйбышевский</w:t>
      </w:r>
      <w:r>
        <w:t xml:space="preserve"> район» в установленный срок, предусмотренный </w:t>
      </w:r>
      <w:r>
        <w:rPr>
          <w:iCs/>
        </w:rPr>
        <w:t xml:space="preserve">ст. 27, </w:t>
      </w:r>
      <w:r>
        <w:rPr>
          <w:bCs/>
          <w:iCs/>
        </w:rPr>
        <w:t xml:space="preserve">Положения</w:t>
      </w:r>
      <w: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Представленный законопроект составлен сроком на 3 года (очередной финансовый год и на плановый период), что соответствует статье 169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статьей 36 БК РФ соблюден принцип прозрачности (открытости). Проект размещен на сайте МР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</w:t>
      </w:r>
      <w:r>
        <w:t xml:space="preserve"> </w:t>
        <w:t xml:space="preserve">район»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2. Параметры прогноза исходных макроэкономических показателей для составления проекта местного бюджета.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Экспертиза Проекта бюджета проведена КСО с учетом: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Послания Президента Российской Федерации Федеральному Собранию;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caps w:val="true"/>
        </w:rPr>
        <w:t xml:space="preserve">-</w:t>
      </w:r>
      <w:r>
        <w:rPr>
          <w:rStyle w:val="style30"/>
        </w:rPr>
      </w:r>
      <w:r>
        <w:rPr>
          <w:bCs/>
          <w:sz w:val="24"/>
          <w:szCs w:val="24"/>
        </w:rPr>
        <w:t xml:space="preserve"> основных направлений </w:t>
      </w:r>
      <w:r>
        <w:t xml:space="preserve">бюджетной и налоговой политики Поселения на 202</w:t>
      </w:r>
      <w:r>
        <w:t xml:space="preserve">1</w:t>
      </w:r>
      <w:r>
        <w:t xml:space="preserve"> год и плановый период 202</w:t>
      </w:r>
      <w:r>
        <w:t xml:space="preserve">2</w:t>
      </w:r>
      <w:r>
        <w:t xml:space="preserve"> - 202</w:t>
      </w:r>
      <w:r>
        <w:t xml:space="preserve">3</w:t>
      </w:r>
      <w:r>
        <w:t xml:space="preserve"> годов, утвержденных </w:t>
      </w:r>
      <w:r>
        <w:t xml:space="preserve">Решением Сельской Думы</w:t>
      </w:r>
      <w:r>
        <w:t xml:space="preserve"> № </w:t>
      </w:r>
      <w:r>
        <w:t xml:space="preserve">16</w:t>
      </w:r>
      <w:r>
        <w:t xml:space="preserve"> </w:t>
        <w:t xml:space="preserve">   </w:t>
        <w:t xml:space="preserve">от </w:t>
        <w:t xml:space="preserve"> </w:t>
      </w:r>
      <w:r>
        <w:t xml:space="preserve">29 </w:t>
        <w:t xml:space="preserve"> </w:t>
        <w:t xml:space="preserve">октября</w:t>
      </w:r>
      <w:r>
        <w:t xml:space="preserve"> </w:t>
        <w:t xml:space="preserve">     </w:t>
        <w:t xml:space="preserve">20</w:t>
      </w:r>
      <w:r>
        <w:t xml:space="preserve">20</w:t>
      </w:r>
      <w:r>
        <w:t xml:space="preserve"> года;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- прогноза социально-экономического развития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утвержденного Постановлением Главы администрации СП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от </w:t>
      </w:r>
      <w:r>
        <w:t xml:space="preserve">16 ноября</w:t>
      </w:r>
      <w:r>
        <w:t xml:space="preserve"> </w:t>
        <w:t xml:space="preserve">      </w:t>
        <w:t xml:space="preserve">20</w:t>
      </w:r>
      <w:r>
        <w:t xml:space="preserve">20</w:t>
      </w:r>
      <w:r>
        <w:t xml:space="preserve"> года № </w:t>
        <w:t xml:space="preserve"> </w:t>
      </w:r>
      <w:r>
        <w:t xml:space="preserve">16</w:t>
      </w:r>
      <w:r>
        <w:t xml:space="preserve"> </w:t>
        <w:t xml:space="preserve"> </w:t>
        <w:t xml:space="preserve">;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При подготовке заключения Контрольно-счетным органом проанализирована информация, предоставленная отделом финансов, отделом экономики </w:t>
      </w:r>
      <w:r>
        <w:rPr>
          <w:spacing w:val="2"/>
        </w:rPr>
        <w:t xml:space="preserve">МР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район», администрацией Поселения</w:t>
      </w:r>
      <w:r>
        <w:t xml:space="preserve"> по составлению прогнозных показателей Проекта бюджета, проверено наличие нормативной и методологической базы, регулирующей порядок формирования и расчетов основных показателей Проекта бюджета.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 Общая характеристика проекта закона о местном бюджете на</w:t>
      </w:r>
      <w:r>
        <w:rPr>
          <w:b/>
          <w:spacing w:val="2"/>
        </w:rPr>
        <w:t xml:space="preserve"> </w:t>
      </w:r>
      <w:r>
        <w:rPr>
          <w:b/>
        </w:rPr>
        <w:t xml:space="preserve">очередной финансовый год</w:t>
      </w:r>
      <w:r>
        <w:rPr>
          <w:b/>
          <w:color w:val="339966"/>
        </w:rPr>
        <w:t xml:space="preserve"> </w:t>
      </w:r>
      <w:r>
        <w:rPr>
          <w:b/>
        </w:rPr>
        <w:t xml:space="preserve">и на плановый период.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3.1. Структурные особенности и основные характеристики проекта закона о местном бюджете на очередной финансовый год и на плановый период.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Статьей 1 законопроекта предлагается утвердить основные характеристики бюджета поселения на 202</w:t>
      </w:r>
      <w:r>
        <w:t xml:space="preserve">1</w:t>
      </w:r>
      <w:r>
        <w:t xml:space="preserve"> год.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содержит основные характеристики и показатели местного бюджета, определенные статьей 184.1 БК РФ: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доходов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расходов;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дефицит (профицит)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-иные показатели, установленные БК РФ, законами Калужской области, муниципальными правовыми актами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3.2. Анализ соответствия законопроекта Бюджетному кодексу Российской Федерации и иным актам законодательства Российской Федерации, Калужской области 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решения о </w:t>
      </w:r>
      <w:r>
        <w:rPr>
          <w:spacing w:val="3"/>
        </w:rPr>
        <w:t xml:space="preserve">бюджете 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 и документы, представленные одновременно с ним в Сельскую Думу, соответствуют положениям БК РФ (ст. 184.2) и Положению 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3"/>
        </w:rPr>
        <w:t xml:space="preserve">Проект бюджета составлен в порядке, установленном Положением, в соответствии с БК РФ и принимаемыми с соблюдением его требований муниципальными правовыми актами </w:t>
      </w:r>
      <w:r>
        <w:t xml:space="preserve">Поселения (ст. 169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Одновременно с проектом решения о бюджете предоставлен следующий перечень документов и материалов: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1) основные направления бюджетной и налоговой политики;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t xml:space="preserve">2) </w:t>
      </w:r>
      <w:r>
        <w:rPr>
          <w:lang w:eastAsia="ru-RU"/>
        </w:rPr>
        <w:t xml:space="preserve">предварительные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поселения за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3) прогноз социально-экономического развития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поселения на очередной финансовый год и плановый период;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5) пояснительная записка к проекту бюджета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8) оценка ожидаемого исполнения бюджета поселения на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9) перечень муниципальных и ведомственных программ, финансируемых за счет средств бюджета в очередном финансовом году и плановом периоде.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Проект решения о бюджете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</w:t>
      </w:r>
      <w:r>
        <w:rPr>
          <w:spacing w:val="2"/>
        </w:rPr>
        <w:t xml:space="preserve"> </w:t>
      </w:r>
      <w:r>
        <w:t xml:space="preserve">очередной финансовый год и на плановый период, документы и материалы, представленные одновременно с ним в Сельскую Думу, документы по вопросам экономической и бюджетной политики, принятые Главой администрации</w:t>
      </w:r>
      <w:r>
        <w:rPr>
          <w:spacing w:val="2"/>
        </w:rPr>
        <w:t xml:space="preserve"> соответствуют действующим правовым основам и процедурам формирования проекта бюджета.</w:t>
      </w: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ст. 173 БК РФ прогноз социально-экономического развития муниципального образования разработан на трехлетний период в порядке, установленном местной администрацией.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проекте соблюдены принципы бюджетной системы Российской Федерации, </w:t>
        <w:t xml:space="preserve">установленные гл. 5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Соблюден принцип сбалансированности бюджета (статья 33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разработан на основе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</w:t>
      </w:r>
      <w:r>
        <w:t xml:space="preserve"> района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Прогноза социально-экономического развития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сценарных условий формирования проекта областного бюджета на указанный период, одобренных Правительства Калужской области </w:t>
      </w:r>
      <w:r>
        <w:rPr>
          <w:lang w:eastAsia="ru-RU"/>
        </w:rPr>
        <w:t xml:space="preserve">от </w:t>
      </w:r>
      <w:r>
        <w:rPr>
          <w:lang w:eastAsia="ru-RU"/>
        </w:rPr>
        <w:t xml:space="preserve">30сентября</w:t>
      </w:r>
      <w:r>
        <w:rPr>
          <w:lang w:eastAsia="ru-RU"/>
        </w:rPr>
        <w:t xml:space="preserve"> 20</w:t>
      </w:r>
      <w:r>
        <w:rPr>
          <w:lang w:eastAsia="ru-RU"/>
        </w:rPr>
        <w:t xml:space="preserve">20</w:t>
      </w:r>
      <w:r>
        <w:rPr>
          <w:lang w:eastAsia="ru-RU"/>
        </w:rPr>
        <w:t xml:space="preserve"> г. № </w:t>
      </w:r>
      <w:r>
        <w:rPr>
          <w:lang w:eastAsia="ru-RU"/>
        </w:rPr>
        <w:t xml:space="preserve">768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2"/>
        </w:rPr>
        <w:t xml:space="preserve">В соответствии с требованиями статьи 59 </w:t>
      </w:r>
      <w:r>
        <w:t xml:space="preserve">БК РФ</w:t>
      </w:r>
      <w:r>
        <w:rPr>
          <w:spacing w:val="2"/>
        </w:rPr>
        <w:t xml:space="preserve"> законы Калужской области о внесении изменений в законодательство о налогах и сборах, регулирующие бюджетные правоотношения, приводящие к изменению доходов бюджетов бюджетной системы Российской Федерации и вступающие в силу в очередном финансовом году и в плановом периоде, приняты до внесения проекта решения о бюджете на очередной финансовый год и на плановый период в Сельскую Думу.</w:t>
      </w:r>
      <w:r>
        <w:t xml:space="preserve"> 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4. Доходы проекта бюджета сельского поселения </w:t>
      </w:r>
      <w:r>
        <w:rPr>
          <w:b/>
          <w:bCs/>
          <w:lang w:eastAsia="ru-RU"/>
        </w:rPr>
        <w:t xml:space="preserve">«</w:t>
      </w:r>
      <w:r>
        <w:rPr>
          <w:b/>
          <w:bCs/>
          <w:lang w:eastAsia="ru-RU"/>
        </w:rPr>
        <w:t xml:space="preserve">Деревня Высокое</w:t>
      </w:r>
      <w:r>
        <w:rPr>
          <w:b/>
          <w:bCs/>
          <w:lang w:eastAsia="ru-RU"/>
        </w:rPr>
        <w:t xml:space="preserve">»</w:t>
      </w:r>
      <w:r>
        <w:rPr>
          <w:b/>
        </w:rPr>
        <w:t xml:space="preserve">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бюджета Поселения на 202</w:t>
      </w:r>
      <w:r>
        <w:t xml:space="preserve">1</w:t>
      </w:r>
      <w:r>
        <w:t xml:space="preserve"> год и плановый период 20</w:t>
      </w:r>
      <w:r>
        <w:t xml:space="preserve">22</w:t>
      </w:r>
      <w:r>
        <w:t xml:space="preserve">-202</w:t>
      </w:r>
      <w:r>
        <w:t xml:space="preserve">3</w:t>
      </w:r>
      <w:r>
        <w:t xml:space="preserve"> 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 </w:t>
      </w:r>
      <w:r>
        <w:t xml:space="preserve">района на 202</w:t>
      </w:r>
      <w:r>
        <w:t xml:space="preserve">1</w:t>
      </w:r>
      <w:r>
        <w:t xml:space="preserve"> год и на плановый период 2022 и 202</w:t>
      </w:r>
      <w:r>
        <w:t xml:space="preserve">3</w:t>
      </w:r>
      <w:r>
        <w:t xml:space="preserve"> годов, Прогноза социально-экономического развития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и оценки ожидаемых поступлений доходов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Исходной базой для разработки прогноза доходной части Проекта бюджета являются показатели бюджетов 20</w:t>
      </w:r>
      <w:r>
        <w:t xml:space="preserve">19</w:t>
      </w:r>
      <w:r>
        <w:t xml:space="preserve"> годов с внесенными изменениями и оценка их исполнения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местного бюджета формируются за счет налоговых и неналоговых доходов, безвозмездных поступлений. Налоговые, неналоговые доходы и безвозмездные поступления за исключением субвенций составляют собственные доходы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Параметры доходов бюджета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определены в соответствии с Бюджетным кодексом РФ, нормативами отчислений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Собственные доходы</w:t>
      </w:r>
      <w:r>
        <w:t xml:space="preserve">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за счет:</w:t>
      </w:r>
    </w:p>
    <w:tbl>
      <w:tblPr>
        <w:tblW w:type="dxa" w:w="9942"/>
        <w:jc w:val="left"/>
        <w:tblLayout w:type="fixed"/>
      </w:tblPr>
      <w:tblGrid>
        <w:gridCol w:w="6100"/>
        <w:gridCol w:w="1260"/>
        <w:gridCol w:w="1260"/>
        <w:gridCol w:w="12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сов</w:t>
            </w:r>
            <w:r>
              <w:rPr>
                <w:bCs/>
                <w:sz w:val="20"/>
                <w:szCs w:val="20"/>
                <w:lang w:eastAsia="ru-RU"/>
              </w:rPr>
              <w:t xml:space="preserve">о</w:t>
            </w:r>
            <w:r>
              <w:rPr>
                <w:bCs/>
                <w:sz w:val="20"/>
                <w:szCs w:val="20"/>
                <w:lang w:eastAsia="ru-RU"/>
              </w:rPr>
              <w:t xml:space="preserve">купный доход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налог, взимаемый в связи с применением УСН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имущество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Земельный налог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9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Доходы от реализации имущества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Штрафы,санкции,возмещение ущерба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Инициативные платежи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Безвозмездные поступления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запланированы в Проекте бюджета в виде: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tbl>
      <w:tblPr>
        <w:tblW w:type="dxa" w:w="9942"/>
        <w:jc w:val="left"/>
        <w:tblLayout w:type="fixed"/>
      </w:tblPr>
      <w:tblGrid>
        <w:gridCol w:w="5820"/>
        <w:gridCol w:w="1360"/>
        <w:gridCol w:w="1360"/>
        <w:gridCol w:w="1380"/>
      </w:tblGrid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Дотации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358 674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466 412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Субвенции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безвозмездные поступления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Структура планируемых доходов бюджета приведена в таблице.</w:t>
      </w:r>
    </w:p>
    <w:p>
      <w:pPr>
        <w:pStyle w:val="style6"/>
        <w:jc w:val="right"/>
        <w:spacing w:after="0" w:before="0"/>
        <w:ind w:left="0" w:right="0" w:firstLine="540"/>
        <w:tabs>
          <w:tab w:pos="0" w:val="left"/>
        </w:tabs>
      </w:pPr>
      <w:r>
        <w:t xml:space="preserve"> </w:t>
      </w:r>
      <w:r>
        <w:rPr>
          <w:sz w:val="20"/>
          <w:szCs w:val="20"/>
        </w:rPr>
        <w:t xml:space="preserve">рублей</w:t>
      </w:r>
    </w:p>
    <w:tbl>
      <w:tblPr>
        <w:tblW w:type="dxa" w:w="9866"/>
        <w:jc w:val="left"/>
        <w:tblLayout w:type="fixed"/>
      </w:tblPr>
      <w:tblGrid>
        <w:gridCol w:w="5900"/>
        <w:gridCol w:w="1260"/>
        <w:gridCol w:w="1320"/>
        <w:gridCol w:w="136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ДОХОДЫ 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НАЛОГОВЫЕ И НЕНАЛОГОВЫЕ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637 175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637 175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637 175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прибыль, доходы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</w:t>
            </w:r>
            <w:r>
              <w:rPr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</w:t>
            </w:r>
            <w:r>
              <w:rPr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</w:t>
            </w:r>
            <w:r>
              <w:rPr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lang w:eastAsia="ru-RU"/>
              </w:rPr>
              <w:t xml:space="preserve">48 175,00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сов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о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купный доход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в т.ч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Единый налог, взимаемый в связи с применением упрощенной системы налогообл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о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жения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имущество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185 000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185 000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185 000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 на имущество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14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Земельный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470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Доходы от продажи материальных и нематериальных активов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Доходы от реализации имущества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Штрафы,санкции,возмещение ущерба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Инициативные платежи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БЕЗВОЗМЕЗДНЫЕ ПОСТУПЛЕНИЯ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07 378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4 415 116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4 148 704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07 378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4 415 116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4 148 704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Дотации бюджетам субъектов РФ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358 674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466 412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Субвенции бюджетам субъектов РФ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rFonts w:eastAsia="PMingLiU-ExtB"/>
                <w:lang w:eastAsia="ru-RU"/>
              </w:rPr>
              <w:t xml:space="preserve">Прочие безвозмездные поступления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ВСЕГО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4 994 553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5 052 291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4 785 879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</w:tbl>
    <w:p>
      <w:pPr>
        <w:pStyle w:val="style6"/>
        <w:jc w:val="right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</w:pPr>
      <w:r>
        <w:t xml:space="preserve">В соответствии с приведенной выше таблицей: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общий объем доходов бюджета</w:t>
      </w:r>
      <w:r>
        <w:t xml:space="preserve"> прогнозируется на очередной финансовый 202</w:t>
      </w:r>
      <w:r>
        <w:t xml:space="preserve">1</w:t>
      </w:r>
      <w:r>
        <w:t xml:space="preserve"> год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4 994 553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5 052 291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 руб., 202</w:t>
      </w:r>
      <w:r>
        <w:t xml:space="preserve">3</w:t>
      </w:r>
      <w:r>
        <w:t xml:space="preserve"> 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4 785 879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</w:t>
      </w:r>
    </w:p>
    <w:p>
      <w:pPr>
        <w:pStyle w:val="style4"/>
        <w:jc w:val="both"/>
        <w:ind w:left="0" w:right="0" w:firstLine="550"/>
      </w:pPr>
    </w:p>
    <w:p>
      <w:pPr>
        <w:pStyle w:val="style4"/>
        <w:jc w:val="both"/>
        <w:ind w:left="0" w:right="0" w:firstLine="550"/>
      </w:pPr>
      <w:r>
        <w:t xml:space="preserve">в том числе: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собственные доходы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 год в сумме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637 175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637 175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202</w:t>
      </w:r>
      <w:r>
        <w:t xml:space="preserve">3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637 175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безвозмездные поступления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 год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4 3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07 378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 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4 415 116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202</w:t>
      </w:r>
      <w:r>
        <w:t xml:space="preserve">3</w:t>
      </w:r>
      <w:r>
        <w:t xml:space="preserve"> года в сумме –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4 148 704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5. Расходы проекта бюджета Поселения.</w:t>
      </w:r>
    </w:p>
    <w:p>
      <w:pPr>
        <w:pStyle w:val="style6"/>
        <w:spacing w:after="0" w:before="0"/>
        <w:ind w:left="931" w:right="0" w:firstLine="0"/>
      </w:pP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Расходная часть бюджета поселения на очередной финансовый 202</w:t>
      </w:r>
      <w:r>
        <w:t xml:space="preserve">1</w:t>
      </w:r>
      <w:r>
        <w:t xml:space="preserve"> год и на плановый </w:t>
        <w:t xml:space="preserve">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муниципальных программ 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. Доля расходов в рамках программ составляет </w:t>
      </w:r>
      <w:r>
        <w:t xml:space="preserve">95,0</w:t>
      </w:r>
      <w:r>
        <w:t xml:space="preserve"> %. Это нашло отражение в структуре распределения бюджетных ассигнований бюджета по целевым статьям (муниципальным, государственным программам и непрограм</w:t>
      </w:r>
      <w:r>
        <w:t xml:space="preserve">м</w:t>
      </w:r>
      <w:r>
        <w:t xml:space="preserve">ным направлениям деятельности), группам и подгруппам видов расходов классификации расходов бюджетов.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Общий объем расходов на очередной финансовый 202</w:t>
      </w:r>
      <w:r>
        <w:t xml:space="preserve">1</w:t>
      </w:r>
      <w:r>
        <w:t xml:space="preserve"> год сформирован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4 9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4 553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,00</w:t>
      </w:r>
      <w:r>
        <w:t xml:space="preserve">руб., на плановый период 202</w:t>
      </w:r>
      <w:r>
        <w:t xml:space="preserve">2</w:t>
      </w:r>
      <w:r>
        <w:t xml:space="preserve"> года в сумме –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4 949 349,03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  <w:r>
        <w:t xml:space="preserve">руб., 2022 года в сумме –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579 995,05</w:t>
      </w:r>
      <w:r>
        <w:t xml:space="preserve"> руб. 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tbl>
      <w:tblPr>
        <w:tblW w:type="dxa" w:w="10063"/>
        <w:jc w:val="left"/>
        <w:tblLayout w:type="fixed"/>
      </w:tblPr>
      <w:tblGrid>
        <w:gridCol w:w="5220"/>
        <w:gridCol w:w="1080"/>
        <w:gridCol w:w="1240"/>
        <w:gridCol w:w="1240"/>
        <w:gridCol w:w="1240"/>
      </w:tblGrid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Распределение бюджетных ассигнований бюджета Поселения по разделам и подразделам классификации расходов бюджетов на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год и на плановый период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и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годов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055 550,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025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055 550,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025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025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309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Деревня Высокое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696 860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804 598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538 186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496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860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604 598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338 186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Основные мероприятия в области земельных отношений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496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860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604 598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338 186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994 984,00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982 042,03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789 100,</w:t>
            </w:r>
          </w:p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05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Жилищное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0501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994 984,00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982 042,03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789 100,05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both"/>
              <w:ind w:left="0" w:right="0" w:firstLine="539"/>
              <w:tabs>
                <w:tab w:pos="993" w:val="left"/>
                <w:tab w:pos="4946" w:val="center"/>
              </w:tabs>
            </w:pP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 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4 9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4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4 553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both"/>
              <w:widowControl w:val="1"/>
              <w:ind w:left="0" w:right="0" w:firstLine="0"/>
              <w:tabs>
                <w:tab w:pos="993" w:val="left"/>
                <w:tab w:pos="4946" w:val="center"/>
              </w:tabs>
            </w:pP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4 949 349,03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both"/>
              <w:widowControl w:val="1"/>
              <w:ind w:left="0" w:right="0" w:firstLine="539"/>
              <w:tabs>
                <w:tab w:pos="993" w:val="left"/>
                <w:tab w:pos="4946" w:val="center"/>
              </w:tabs>
            </w:pP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 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4 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579 995,05</w:t>
            </w:r>
          </w:p>
        </w:tc>
      </w:tr>
    </w:tbl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p>
      <w:pPr>
        <w:pStyle w:val="style4"/>
        <w:jc w:val="both"/>
        <w:ind w:left="0" w:right="0" w:firstLine="540"/>
      </w:pPr>
      <w:r>
        <w:t xml:space="preserve">Распределение расходов бюджета на 202</w:t>
      </w:r>
      <w:r>
        <w:t xml:space="preserve">1</w:t>
      </w:r>
      <w:r>
        <w:t xml:space="preserve"> год в процентном отношении по Ведомственной структуре расходов бюджета Поселения на 202</w:t>
      </w:r>
      <w:r>
        <w:t xml:space="preserve">1</w:t>
      </w:r>
      <w:r>
        <w:t xml:space="preserve"> год указано в следующей таблице (</w:t>
      </w:r>
      <w:r>
        <w:rPr>
          <w:i/>
        </w:rPr>
        <w:t xml:space="preserve">данные Приложения 5 к Решению).</w:t>
      </w:r>
      <w:r>
        <w:t xml:space="preserve"> </w:t>
      </w:r>
    </w:p>
    <w:p>
      <w:pPr>
        <w:pStyle w:val="style4"/>
        <w:jc w:val="right"/>
        <w:ind w:left="0" w:right="0" w:firstLine="540"/>
      </w:pPr>
      <w:r>
        <w:rPr>
          <w:sz w:val="20"/>
          <w:szCs w:val="20"/>
        </w:rPr>
        <w:t xml:space="preserve">Рублей</w:t>
      </w:r>
    </w:p>
    <w:tbl>
      <w:tblPr>
        <w:tblW w:type="dxa" w:w="10094"/>
        <w:jc w:val="left"/>
        <w:tblLayout w:type="fixed"/>
      </w:tblPr>
      <w:tblGrid>
        <w:gridCol w:w="6480"/>
        <w:gridCol w:w="1120"/>
        <w:gridCol w:w="1380"/>
        <w:gridCol w:w="10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% к общему объему расходов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055 550,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</w:t>
            </w:r>
            <w:r>
              <w:rPr>
                <w:sz w:val="18"/>
                <w:szCs w:val="18"/>
                <w:lang w:eastAsia="ru-RU"/>
              </w:rPr>
              <w:t xml:space="preserve">1,6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055 550,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1,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63 200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329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6,6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Иные закупки товаров ,работ и услуг для обеспечения государственных(муниципальных)нужд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314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МП « Комплексные меры по профилактике </w:t>
              <w:t xml:space="preserve"> </w:t>
              <w:t xml:space="preserve">правонарушений на территории МО СП 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Деревня Высокое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696 860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13,9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496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860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994 984,00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20,1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Жилищное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0501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994 984,00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15,4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0,</w:t>
            </w:r>
            <w:r>
              <w:rPr>
                <w:b/>
                <w:sz w:val="18"/>
                <w:szCs w:val="18"/>
                <w:lang w:eastAsia="ru-RU"/>
              </w:rPr>
              <w:t xml:space="preserve">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26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0,</w:t>
            </w:r>
            <w:r>
              <w:rPr>
                <w:b/>
                <w:sz w:val="18"/>
                <w:szCs w:val="18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4 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944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 5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53</w:t>
            </w:r>
            <w:r>
              <w:rPr>
                <w:b/>
                <w:bCs/>
                <w:sz w:val="18"/>
                <w:szCs w:val="18"/>
                <w:rFonts w:eastAsia="PMingLiU-ExtB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100,0</w:t>
            </w:r>
          </w:p>
        </w:tc>
      </w:tr>
    </w:tbl>
    <w:p>
      <w:pPr>
        <w:pStyle w:val="style4"/>
        <w:jc w:val="right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Cs/>
          <w:color w:val="000000"/>
          <w:lang w:eastAsia="ru-RU"/>
        </w:rPr>
        <w:t xml:space="preserve">В приведенной выше таблице основными расходами бюджета Поселения на 202</w:t>
      </w:r>
      <w:r>
        <w:rPr>
          <w:bCs/>
          <w:color w:val="000000"/>
          <w:lang w:eastAsia="ru-RU"/>
        </w:rPr>
        <w:t xml:space="preserve">1</w:t>
      </w:r>
      <w:r>
        <w:rPr>
          <w:bCs/>
          <w:color w:val="000000"/>
          <w:lang w:eastAsia="ru-RU"/>
        </w:rPr>
        <w:t xml:space="preserve"> год в процентном отношении к общим расходам, в порядке убывания являются:</w:t>
      </w:r>
    </w:p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055 550,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</w:t>
            </w:r>
            <w:r>
              <w:rPr>
                <w:sz w:val="18"/>
                <w:szCs w:val="18"/>
                <w:lang w:eastAsia="ru-RU"/>
              </w:rPr>
              <w:t xml:space="preserve">1,6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… местных администраций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055 550,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</w:pPr>
    </w:p>
    <w:p>
      <w:pPr>
        <w:pStyle w:val="style4"/>
        <w:jc w:val="both"/>
        <w:ind w:left="0" w:right="0" w:firstLine="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994 984,00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20,1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Жилищное хозяйство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994 984,00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15,4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764 509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</w:t>
              <w:t xml:space="preserve">НАЦИОНАЛЬНАЯ ЭКОНОМИКА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696 860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13,9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496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860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540"/>
        <w:tabs>
          <w:tab w:pos="4946" w:val="center"/>
        </w:tabs>
      </w:pPr>
    </w:p>
    <w:p>
      <w:pPr>
        <w:pStyle w:val="style4"/>
        <w:jc w:val="both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и бюджета муниципального района прогнозируются в объемах, предусмотренных проектом областного бюджета, проектом бюджета муниципального района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6. Межбюджетные трансферты бюджету и из бюджета Поселения.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Проектом соблюдены условия предоставления межбюджетных </w:t>
      </w:r>
      <w:r>
        <w:t xml:space="preserve">трансфертов из местного бюджета, а также форм межбюджетных трансфертов, предоставляемых из областного бюджета местным бюджетам (ст. 135, 136, 137, 138, 139,139</w:t>
      </w:r>
      <w:r>
        <w:rPr>
          <w:vertAlign w:val="superscript"/>
        </w:rPr>
        <w:t xml:space="preserve">1</w:t>
      </w:r>
      <w:r>
        <w:t xml:space="preserve">, 140 БК РФ).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прогнозируются в объемах, предусмотренных проектом областного бюджета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Межбюджетные трансферты , предоставляемые бюджету</w:t>
      </w:r>
      <w:r>
        <w:t xml:space="preserve"> </w:t>
      </w:r>
      <w:r>
        <w:t xml:space="preserve">МО СП</w:t>
      </w:r>
      <w:r>
        <w:t xml:space="preserve">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</w:t>
      </w:r>
      <w:r>
        <w:rPr>
          <w:i/>
        </w:rPr>
        <w:t xml:space="preserve">4</w:t>
      </w:r>
      <w:r>
        <w:rPr>
          <w:i/>
        </w:rPr>
        <w:t xml:space="preserve"> ,</w:t>
      </w:r>
      <w:r>
        <w:rPr>
          <w:i/>
        </w:rPr>
        <w:t xml:space="preserve">15</w:t>
        <w:tab/>
      </w:r>
      <w:r>
        <w:rPr>
          <w:i/>
        </w:rPr>
        <w:t xml:space="preserve">к решению </w:t>
        <w:t xml:space="preserve"> </w:t>
        <w:t xml:space="preserve">«О бюджете </w:t>
      </w:r>
      <w:r>
        <w:rPr>
          <w:i/>
        </w:rPr>
        <w:t xml:space="preserve">МО</w:t>
      </w:r>
      <w:r>
        <w:rPr>
          <w:i/>
        </w:rPr>
        <w:t xml:space="preserve"> СП</w:t>
      </w:r>
      <w:r>
        <w:rPr>
          <w:bCs/>
          <w:i/>
          <w:lang w:eastAsia="ru-RU"/>
        </w:rPr>
        <w:t xml:space="preserve">«</w:t>
      </w:r>
      <w:r>
        <w:rPr>
          <w:b w:val="false"/>
          <w:bCs w:val="false"/>
          <w:i/>
          <w:lang w:eastAsia="ru-RU"/>
        </w:rPr>
        <w:t xml:space="preserve">Деревня Высокое</w:t>
      </w:r>
      <w:r>
        <w:rPr>
          <w:bCs/>
          <w:i/>
          <w:lang w:eastAsia="ru-RU"/>
        </w:rPr>
        <w:t xml:space="preserve">»</w:t>
      </w:r>
      <w:r>
        <w:rPr>
          <w:i/>
        </w:rPr>
        <w:t xml:space="preserve">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годов»)</w:t>
      </w:r>
    </w:p>
    <w:tbl>
      <w:tblPr>
        <w:tblW w:type="dxa" w:w="9918"/>
        <w:jc w:val="left"/>
        <w:tblLayout w:type="fixed"/>
      </w:tblPr>
      <w:tblGrid>
        <w:gridCol w:w="900"/>
        <w:gridCol w:w="5040"/>
        <w:gridCol w:w="1360"/>
        <w:gridCol w:w="1300"/>
        <w:gridCol w:w="12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№ п.п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Наименование вида финансовой помощи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07 378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4 415 116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4 148 704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Дотации бюджетам поселений на выравнивание уровня бюджетной обеспеченности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 </w:t>
            </w:r>
            <w:r>
              <w:rPr>
                <w:bCs/>
                <w:sz w:val="20"/>
                <w:szCs w:val="20"/>
                <w:lang w:eastAsia="ru-RU"/>
              </w:rPr>
              <w:t xml:space="preserve">480 504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1.2.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Субсидии бюджетам сельского поселения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358 674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466 412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200 000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1.3.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63 200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1.4.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Иные межбюд</w:t>
            </w:r>
            <w:r>
              <w:rPr>
                <w:bCs/>
                <w:sz w:val="18"/>
                <w:szCs w:val="18"/>
                <w:lang w:eastAsia="ru-RU"/>
              </w:rPr>
              <w:t xml:space="preserve">ж</w:t>
            </w:r>
            <w:r>
              <w:rPr>
                <w:bCs/>
                <w:sz w:val="18"/>
                <w:szCs w:val="18"/>
                <w:lang w:eastAsia="ru-RU"/>
              </w:rPr>
              <w:t xml:space="preserve">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405 000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</w:tbl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Субвенции, выделяемые </w:t>
      </w:r>
      <w:r>
        <w:t xml:space="preserve">из бюджета сельского поселения </w:t>
      </w:r>
      <w:r>
        <w:rPr>
          <w:bCs/>
          <w:i/>
          <w:lang w:eastAsia="ru-RU"/>
        </w:rPr>
        <w:t xml:space="preserve">«</w:t>
      </w:r>
      <w:r>
        <w:rPr>
          <w:b w:val="false"/>
          <w:bCs w:val="false"/>
          <w:i/>
          <w:lang w:eastAsia="ru-RU"/>
        </w:rPr>
        <w:t xml:space="preserve">Деревня Высокое</w:t>
      </w:r>
      <w:r>
        <w:rPr>
          <w:bCs/>
          <w:i/>
          <w:lang w:eastAsia="ru-RU"/>
        </w:rPr>
        <w:t xml:space="preserve">»</w:t>
      </w:r>
      <w:r>
        <w:t xml:space="preserve"> бюджету муниципального района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</w:t>
      </w:r>
      <w:r>
        <w:t xml:space="preserve">» в соответствии с заключенными соглашениями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12,</w:t>
      </w:r>
      <w:r>
        <w:rPr>
          <w:i/>
        </w:rPr>
        <w:t xml:space="preserve">13</w:t>
      </w:r>
      <w:r>
        <w:rPr>
          <w:i/>
        </w:rPr>
        <w:t xml:space="preserve"> к решению Сельской Думы «О бюджете </w:t>
      </w:r>
      <w:r>
        <w:rPr>
          <w:i/>
        </w:rPr>
        <w:t xml:space="preserve">МО СП </w:t>
      </w:r>
      <w:r>
        <w:rPr>
          <w:bCs/>
          <w:i/>
          <w:lang w:eastAsia="ru-RU"/>
        </w:rPr>
        <w:t xml:space="preserve">«</w:t>
      </w:r>
      <w:r>
        <w:rPr>
          <w:b w:val="false"/>
          <w:bCs w:val="false"/>
          <w:i/>
          <w:lang w:eastAsia="ru-RU"/>
        </w:rPr>
        <w:t xml:space="preserve">Деревня Высокое</w:t>
      </w:r>
      <w:r>
        <w:rPr>
          <w:bCs/>
          <w:i/>
          <w:lang w:eastAsia="ru-RU"/>
        </w:rPr>
        <w:t xml:space="preserve">»</w:t>
      </w:r>
      <w:r>
        <w:rPr>
          <w:i/>
        </w:rPr>
        <w:t xml:space="preserve">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годов»)</w:t>
        <w:tab/>
        <w:tab/>
        <w:tab/>
        <w:tab/>
        <w:tab/>
        <w:tab/>
        <w:tab/>
      </w:r>
      <w:r>
        <w:rPr>
          <w:sz w:val="20"/>
          <w:szCs w:val="20"/>
          <w:color w:val="000000"/>
          <w:lang w:eastAsia="ru-RU"/>
        </w:rPr>
        <w:t xml:space="preserve">рублей</w:t>
      </w:r>
    </w:p>
    <w:tbl>
      <w:tblPr>
        <w:tblW w:type="dxa" w:w="10202"/>
        <w:jc w:val="left"/>
        <w:tblLayout w:type="fixed"/>
      </w:tblPr>
      <w:tblGrid>
        <w:gridCol w:w="6460"/>
        <w:gridCol w:w="1260"/>
        <w:gridCol w:w="1200"/>
        <w:gridCol w:w="124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Наименование полномочия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1 </w:t>
            </w:r>
            <w:r>
              <w:rPr>
                <w:b/>
                <w:sz w:val="18"/>
                <w:szCs w:val="18"/>
              </w:rPr>
              <w:t xml:space="preserve">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  <w:t xml:space="preserve">исполнение полномочий по созданию условий для организации досуга и обеспечение жителей поселений услугами организаций культуры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464 509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464 509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464 509</w:t>
            </w:r>
            <w:r>
              <w:rPr>
                <w:sz w:val="18"/>
                <w:szCs w:val="18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Исполнение полномочий по сохранению ,использованию и популяризации объектов культурного наследия (памятников истории и культуры),находящихся в собственности поселения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300 000,00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300 000,00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300 000,00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  <w:t xml:space="preserve">исполнение полномочий по </w:t>
            </w:r>
            <w:r>
              <w:rPr>
                <w:sz w:val="18"/>
                <w:szCs w:val="18"/>
              </w:rPr>
              <w:t xml:space="preserve">обеспечению условий для развития на территории поселения физической культуры и массового спорта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26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26</w:t>
            </w:r>
            <w:r>
              <w:rPr>
                <w:sz w:val="18"/>
                <w:szCs w:val="18"/>
              </w:rPr>
              <w:t xml:space="preserve"> 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26</w:t>
            </w:r>
            <w:r>
              <w:rPr>
                <w:sz w:val="18"/>
                <w:szCs w:val="18"/>
              </w:rPr>
              <w:t xml:space="preserve"> 000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790 509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790 509</w:t>
            </w:r>
            <w:r>
              <w:rPr>
                <w:sz w:val="18"/>
                <w:szCs w:val="18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790 509</w:t>
            </w:r>
            <w:r>
              <w:rPr>
                <w:sz w:val="18"/>
                <w:szCs w:val="18"/>
              </w:rPr>
              <w:t xml:space="preserve">,00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7. Муниципальные программы Поселения.</w:t>
      </w:r>
    </w:p>
    <w:p>
      <w:pPr>
        <w:pStyle w:val="style4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Администрацией Поселения представлен в составе документов к Проекту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паспорта муниципальных</w:t>
      </w:r>
      <w:r>
        <w:rPr>
          <w:spacing w:val="-11"/>
        </w:rPr>
        <w:t xml:space="preserve"> </w:t>
      </w:r>
      <w:r>
        <w:t xml:space="preserve">программ: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</w:t>
      </w:r>
      <w:r>
        <w:t xml:space="preserve">Развитие муниципальной службы и совершенствование методов решения вопросов местного значения в</w:t>
      </w:r>
      <w:r>
        <w:t xml:space="preserve"> сельско</w:t>
      </w:r>
      <w:r>
        <w:t xml:space="preserve">м</w:t>
      </w:r>
      <w:r>
        <w:t xml:space="preserve"> поселени</w:t>
      </w:r>
      <w:r>
        <w:t xml:space="preserve">и</w:t>
      </w:r>
      <w:r>
        <w:t xml:space="preserve">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</w:t>
      </w:r>
      <w:r>
        <w:t xml:space="preserve">на 2021-2023годы»</w:t>
      </w:r>
      <w:r>
        <w:t xml:space="preserve">(далее — МП);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  <w:t xml:space="preserve"> </w:t>
        <w:t xml:space="preserve">Муниципальная программа « </w:t>
      </w:r>
      <w:r>
        <w:t xml:space="preserve">Пожарная безопасность на территории МО «Деревня Высокое на 2020-2022годы»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«Комплексные меры по профилактике правонарушений на территории МО СП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2020-202</w:t>
      </w:r>
      <w:r>
        <w:t xml:space="preserve">2</w:t>
      </w:r>
      <w:r>
        <w:t xml:space="preserve">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«Благоустройство </w:t>
        <w:t xml:space="preserve"> </w:t>
      </w:r>
      <w:r>
        <w:t xml:space="preserve">территории МО </w:t>
      </w:r>
      <w:r>
        <w:t xml:space="preserve">сельского поселения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</w:t>
      </w:r>
      <w:r>
        <w:t xml:space="preserve">Куйбышевского района на период 2020-2022годы» </w:t>
      </w:r>
      <w:r>
        <w:t xml:space="preserve">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В Проекте бюджета предусмотрены следующие средства на реализацию МП:</w:t>
      </w:r>
    </w:p>
    <w:p>
      <w:pPr>
        <w:pStyle w:val="style6"/>
        <w:jc w:val="right"/>
        <w:spacing w:after="0" w:before="0"/>
        <w:ind w:left="0" w:right="0" w:firstLine="540"/>
      </w:pPr>
      <w:r>
        <w:t xml:space="preserve">рублей</w:t>
      </w:r>
    </w:p>
    <w:tbl>
      <w:tblPr>
        <w:tblW w:type="dxa" w:w="9909"/>
        <w:jc w:val="left"/>
        <w:tblLayout w:type="fixed"/>
      </w:tblPr>
      <w:tblGrid>
        <w:gridCol w:w="5720"/>
        <w:gridCol w:w="1340"/>
        <w:gridCol w:w="1480"/>
        <w:gridCol w:w="1320"/>
      </w:tblGrid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sz w:val="20"/>
                <w:szCs w:val="20"/>
                <w:lang w:eastAsia="ru-RU"/>
              </w:rPr>
              <w:t xml:space="preserve"> сельско</w:t>
            </w:r>
            <w:r>
              <w:rPr>
                <w:sz w:val="20"/>
                <w:szCs w:val="20"/>
                <w:lang w:eastAsia="ru-RU"/>
              </w:rPr>
              <w:t xml:space="preserve">м</w:t>
            </w:r>
            <w:r>
              <w:rPr>
                <w:sz w:val="20"/>
                <w:szCs w:val="20"/>
                <w:lang w:eastAsia="ru-RU"/>
              </w:rPr>
              <w:t xml:space="preserve"> поселени</w:t>
            </w:r>
            <w:r>
              <w:rPr>
                <w:sz w:val="20"/>
                <w:szCs w:val="20"/>
                <w:lang w:eastAsia="ru-RU"/>
              </w:rPr>
              <w:t xml:space="preserve">и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bCs/>
                <w:sz w:val="20"/>
                <w:szCs w:val="2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Деревня Высокое</w:t>
            </w:r>
            <w:r>
              <w:rPr>
                <w:bCs/>
                <w:sz w:val="20"/>
                <w:szCs w:val="2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</w:t>
            </w:r>
            <w:r>
              <w:rPr>
                <w:sz w:val="20"/>
                <w:szCs w:val="20"/>
                <w:lang w:eastAsia="ru-RU"/>
              </w:rPr>
              <w:t xml:space="preserve">070 000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</w:t>
            </w:r>
            <w:r>
              <w:rPr>
                <w:sz w:val="20"/>
                <w:szCs w:val="20"/>
                <w:lang w:eastAsia="ru-RU"/>
              </w:rPr>
              <w:t xml:space="preserve">070 000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</w:t>
            </w:r>
            <w:r>
              <w:rPr>
                <w:sz w:val="20"/>
                <w:szCs w:val="20"/>
                <w:lang w:eastAsia="ru-RU"/>
              </w:rPr>
              <w:t xml:space="preserve">070 000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  </w:t>
              <w:t xml:space="preserve">Муниципальная программа « </w:t>
            </w:r>
            <w:r>
              <w:rPr>
                <w:sz w:val="20"/>
                <w:szCs w:val="20"/>
                <w:lang w:eastAsia="ru-RU"/>
              </w:rPr>
              <w:t xml:space="preserve">Пожарная безопасность на территории МО «Деревня Высокое»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14</w:t>
            </w:r>
            <w:r>
              <w:rPr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14</w:t>
            </w:r>
            <w:r>
              <w:rPr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14</w:t>
            </w:r>
            <w:r>
              <w:rPr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«Комплексные меры по профилактике правонарушений на территории МО СП </w:t>
            </w:r>
            <w:r>
              <w:rPr>
                <w:bCs/>
                <w:sz w:val="20"/>
                <w:szCs w:val="2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Деревня Высокое</w:t>
            </w:r>
            <w:r>
              <w:rPr>
                <w:bCs/>
                <w:sz w:val="20"/>
                <w:szCs w:val="20"/>
                <w:lang w:eastAsia="ru-RU"/>
              </w:rPr>
              <w:t xml:space="preserve">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bCs/>
                <w:sz w:val="20"/>
                <w:szCs w:val="2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Деревня Высокое</w:t>
            </w:r>
            <w:r>
              <w:rPr>
                <w:bCs/>
                <w:sz w:val="20"/>
                <w:szCs w:val="20"/>
                <w:lang w:eastAsia="ru-RU"/>
              </w:rPr>
              <w:t xml:space="preserve">»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района»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744 984,00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642 042,03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539 100,05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При проверке соответствия объемов бюджетных ассигнований, предусмотренных Проектом бюджета на реализацию МП, объемам финансирования, указанном в паспортах МП, КСО выявлены </w:t>
      </w:r>
      <w:r>
        <w:rPr>
          <w:b/>
          <w:u w:val="single"/>
        </w:rPr>
        <w:t xml:space="preserve">расхождения</w:t>
      </w:r>
      <w:r>
        <w:t xml:space="preserve"> на 20</w:t>
      </w:r>
      <w:r>
        <w:t xml:space="preserve">21</w:t>
      </w:r>
      <w:r>
        <w:t xml:space="preserve">,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г.г. по программам указанным в следующей таблице:</w:t>
      </w:r>
    </w:p>
    <w:p>
      <w:pPr>
        <w:pStyle w:val="style6"/>
        <w:jc w:val="right"/>
        <w:spacing w:after="0" w:before="0"/>
        <w:ind w:left="0" w:right="0" w:firstLine="540"/>
      </w:pPr>
      <w:r>
        <w:t xml:space="preserve">( рублей)</w:t>
      </w:r>
    </w:p>
    <w:tbl>
      <w:tblPr>
        <w:tblW w:type="dxa" w:w="10257"/>
        <w:jc w:val="left"/>
        <w:tblLayout w:type="fixed"/>
      </w:tblPr>
      <w:tblGrid>
        <w:gridCol w:w="3100"/>
        <w:gridCol w:w="1300"/>
        <w:gridCol w:w="1120"/>
        <w:gridCol w:w="1360"/>
        <w:gridCol w:w="1240"/>
        <w:gridCol w:w="1240"/>
        <w:gridCol w:w="840"/>
      </w:tblGrid>
      <w:tr>
        <w:trPr>
          <w:cantSplit w:val="false"/>
          <w:trHeight w:hRule="atLeast" w:val="66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21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375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Муниципальная программа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сельско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поселени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</w:t>
            </w:r>
            <w:r>
              <w:rPr>
                <w:b w:val="false"/>
                <w:bCs/>
                <w:sz w:val="20"/>
                <w:szCs w:val="20"/>
                <w:spacing w:val="2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Деревня Высокое</w:t>
            </w:r>
            <w:r>
              <w:rPr>
                <w:b w:val="false"/>
                <w:bCs/>
                <w:sz w:val="20"/>
                <w:szCs w:val="20"/>
                <w:spacing w:val="2"/>
                <w:lang w:eastAsia="ru-RU"/>
              </w:rPr>
              <w:t xml:space="preserve">»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на 20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21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-202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3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 </w:t>
            </w:r>
            <w:r>
              <w:rPr>
                <w:sz w:val="20"/>
                <w:szCs w:val="20"/>
                <w:lang w:eastAsia="ru-RU"/>
              </w:rPr>
              <w:t xml:space="preserve">070 000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2 </w:t>
            </w:r>
            <w:r>
              <w:rPr>
                <w:sz w:val="18"/>
                <w:szCs w:val="18"/>
                <w:color w:val="000000"/>
              </w:rPr>
              <w:t xml:space="preserve">300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  <w:r>
              <w:rPr>
                <w:sz w:val="18"/>
                <w:szCs w:val="18"/>
                <w:color w:val="000000"/>
              </w:rPr>
              <w:t xml:space="preserve">0</w:t>
            </w:r>
            <w:r>
              <w:rPr>
                <w:sz w:val="18"/>
                <w:szCs w:val="18"/>
                <w:color w:val="000000"/>
              </w:rPr>
              <w:t xml:space="preserve">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070 000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2 400 000,00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 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070 000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2500000,00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</w:t>
            </w:r>
            <w:r>
              <w:rPr>
                <w:bCs/>
                <w:sz w:val="20"/>
                <w:szCs w:val="20"/>
                <w:lang w:eastAsia="ru-RU"/>
              </w:rPr>
              <w:t xml:space="preserve">«</w:t>
            </w: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Деревня Высокое</w:t>
            </w:r>
            <w:r>
              <w:rPr>
                <w:bCs/>
                <w:sz w:val="20"/>
                <w:szCs w:val="20"/>
                <w:lang w:eastAsia="ru-RU"/>
              </w:rPr>
              <w:t xml:space="preserve">»</w:t>
            </w:r>
            <w:r>
              <w:rPr>
                <w:sz w:val="20"/>
                <w:szCs w:val="20"/>
                <w:lang w:eastAsia="ru-RU"/>
              </w:rPr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744 984,00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890 000,00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642 042,03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950 000,00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539 100,05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  </w:t>
              <w:t xml:space="preserve">Муниципальная программа « </w:t>
            </w:r>
            <w:r>
              <w:rPr>
                <w:sz w:val="20"/>
                <w:szCs w:val="20"/>
                <w:lang w:eastAsia="ru-RU"/>
              </w:rPr>
              <w:t xml:space="preserve">Пожарная безопасность на территории МО «Деревня Высокое» на 2020-2022годы»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14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350 400,00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14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350 400,00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14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right"/>
        <w:spacing w:after="0" w:before="0"/>
        <w:ind w:left="0" w:right="0" w:firstLine="540"/>
      </w:pPr>
    </w:p>
    <w:p>
      <w:pPr>
        <w:pStyle w:val="style6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12"/>
        <w:jc w:val="both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t xml:space="preserve">КСО обращает внимание, что в соответствии со ст. 179 БК РФ местная администрация муниципального образования устанавливает муниципальным правовым актом порядок </w:t>
      </w:r>
      <w:r>
        <w:rPr>
          <w:lang w:eastAsia="ru-RU"/>
        </w:rPr>
        <w:t xml:space="preserve">принятия решений о разработке муниципальных программ и формирования и реализации и порядок проведения оценки эффективности реализации муниципальных программ.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lang w:eastAsia="ru-RU"/>
        </w:rPr>
        <w:t xml:space="preserve">В </w:t>
        <w:t xml:space="preserve"> </w:t>
        <w:t xml:space="preserve">соответствии со ст 179 БК РФ </w:t>
        <w:t xml:space="preserve"> </w:t>
        <w:t xml:space="preserve">Муниципальные программы подлежат приведению в соответствии с решением о бюджете не позднее 3-х месяцев со дня вступления его в силу. </w:t>
      </w:r>
    </w:p>
    <w:p>
      <w:pPr>
        <w:pStyle w:val="style4"/>
        <w:suppressAutoHyphens w:val="false"/>
        <w:jc w:val="both"/>
        <w:widowControl w:val="1"/>
        <w:ind w:left="0" w:right="0" w:firstLine="540"/>
      </w:pPr>
    </w:p>
    <w:p>
      <w:pPr>
        <w:pStyle w:val="style6"/>
        <w:jc w:val="both"/>
        <w:spacing w:after="0" w:before="0"/>
        <w:ind w:left="1260" w:right="0" w:firstLine="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8.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Поселения.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rPr>
          <w:bCs/>
        </w:rPr>
        <w:t xml:space="preserve">Дефицит бюджета Поселения и муниципальный долг отсутствует.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9. Выводы и предложения.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2"/>
        </w:rPr>
        <w:t xml:space="preserve">1. Проект решения Сельской Думы Поселения «</w:t>
      </w:r>
      <w:r>
        <w:rPr>
          <w:bCs/>
          <w:spacing w:val="2"/>
        </w:rPr>
        <w:t xml:space="preserve">О бюджете сельского поселения </w:t>
      </w:r>
      <w:r>
        <w:rPr>
          <w:bCs/>
          <w:sz w:val="20"/>
          <w:szCs w:val="20"/>
          <w:spacing w:val="2"/>
          <w:lang w:eastAsia="ru-RU"/>
        </w:rPr>
        <w:t xml:space="preserve"> </w:t>
      </w:r>
      <w:r>
        <w:rPr>
          <w:bCs/>
          <w:sz w:val="20"/>
          <w:szCs w:val="20"/>
          <w:spacing w:val="2"/>
          <w:lang w:eastAsia="ru-RU"/>
        </w:rPr>
        <w:t xml:space="preserve">«</w:t>
      </w:r>
      <w:r>
        <w:rPr>
          <w:b w:val="false"/>
          <w:bCs w:val="false"/>
          <w:sz w:val="20"/>
          <w:szCs w:val="20"/>
          <w:spacing w:val="2"/>
          <w:lang w:eastAsia="ru-RU"/>
        </w:rPr>
        <w:t xml:space="preserve">Деревня Высокое</w:t>
      </w:r>
      <w:r>
        <w:rPr>
          <w:bCs/>
          <w:sz w:val="20"/>
          <w:szCs w:val="20"/>
          <w:spacing w:val="2"/>
          <w:lang w:eastAsia="ru-RU"/>
        </w:rPr>
        <w:t xml:space="preserve">»</w:t>
      </w:r>
      <w:r>
        <w:rPr>
          <w:spacing w:val="2"/>
        </w:rPr>
        <w:t xml:space="preserve">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соответствует </w:t>
      </w:r>
      <w:r>
        <w:rPr>
          <w:spacing w:val="3"/>
        </w:rPr>
        <w:t xml:space="preserve">Бюджетному кодексу </w:t>
      </w:r>
      <w:r>
        <w:t xml:space="preserve">Российской Федерации</w:t>
      </w:r>
      <w:r>
        <w:rPr>
          <w:spacing w:val="3"/>
        </w:rPr>
        <w:t xml:space="preserve"> и иным нормативным правовым актам действующего законодательства.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2. Основные параметры и показатели проекта местного бюджета </w:t>
      </w:r>
      <w:r>
        <w:rPr>
          <w:bCs/>
          <w:spacing w:val="2"/>
        </w:rPr>
        <w:t xml:space="preserve">Поселения</w:t>
      </w:r>
      <w:r>
        <w:rPr>
          <w:spacing w:val="2"/>
        </w:rPr>
        <w:t xml:space="preserve"> 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</w:t>
      </w:r>
      <w:r>
        <w:rPr>
          <w:spacing w:val="2"/>
        </w:rPr>
        <w:t xml:space="preserve">22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достоверны и соответствуют документам предоставленным с Проектом.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3. Проект бюджета «О бюджете сельского поселения </w:t>
        <w:t xml:space="preserve">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t xml:space="preserve">Куйбышевский</w:t>
      </w:r>
      <w:r>
        <w:t xml:space="preserve"> район» в установленный срок.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4. Проект бюджета содержит основные характеристики и показатели местного бюджета.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5.Проект бюджета составлен в порядке, установленном администрацией СП  </w:t>
      </w:r>
      <w:r>
        <w:rPr>
          <w:bCs/>
          <w:spacing w:val="3"/>
          <w:lang w:eastAsia="ru-RU"/>
        </w:rPr>
        <w:t xml:space="preserve">«</w:t>
      </w:r>
      <w:r>
        <w:rPr>
          <w:b w:val="false"/>
          <w:bCs w:val="false"/>
          <w:spacing w:val="3"/>
          <w:lang w:eastAsia="ru-RU"/>
        </w:rPr>
        <w:t xml:space="preserve">Деревня Высокое</w:t>
      </w:r>
      <w:r>
        <w:rPr>
          <w:bCs/>
          <w:spacing w:val="3"/>
          <w:lang w:eastAsia="ru-RU"/>
        </w:rPr>
        <w:t xml:space="preserve">»</w:t>
      </w:r>
      <w:r>
        <w:rPr>
          <w:spacing w:val="3"/>
        </w:rPr>
        <w:t xml:space="preserve">, в соответствии с БК РФ и принимаемыми с соблюдением его требований муниципальными правовыми актами </w:t>
      </w:r>
      <w:r>
        <w:t xml:space="preserve">Поселения.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6. 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7. Параметры доходов бюджета Поселения 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Законом Калужской области №124-ОЗ 05.10.2005 г. (с изм. и доп.)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8. Расходная часть бюджета поселения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МП сельского поселения </w:t>
        <w:t xml:space="preserve">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. </w:t>
      </w:r>
    </w:p>
    <w:p>
      <w:pPr>
        <w:pStyle w:val="style4"/>
        <w:jc w:val="both"/>
        <w:ind w:left="0" w:right="0" w:firstLine="539"/>
      </w:pPr>
    </w:p>
    <w:p>
      <w:pPr>
        <w:pStyle w:val="style4"/>
        <w:jc w:val="both"/>
        <w:ind w:left="0" w:right="0" w:firstLine="539"/>
      </w:pPr>
    </w:p>
    <w:p>
      <w:pPr>
        <w:pStyle w:val="style6"/>
        <w:jc w:val="both"/>
        <w:spacing w:after="0" w:before="0"/>
        <w:ind w:left="0" w:right="0" w:firstLine="539"/>
      </w:pPr>
      <w:r>
        <w:t xml:space="preserve">9</w:t>
      </w:r>
      <w:r>
        <w:t xml:space="preserve">. Ассигнования, предусмотренные Проектом на реализацию МП, не соответствуют объемам финансирования указанным в паспортах МП на 202</w:t>
      </w:r>
      <w:r>
        <w:t xml:space="preserve">1</w:t>
      </w:r>
      <w:r>
        <w:t xml:space="preserve">-202</w:t>
      </w:r>
      <w:r>
        <w:t xml:space="preserve">3</w:t>
      </w:r>
      <w:r>
        <w:t xml:space="preserve"> гг. 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Муниципальные программы следует привести в соответствие с утвержденным решением о бюджете в сроки, установленные муниципальным правовым актом представительного органа поселения.</w:t>
      </w:r>
    </w:p>
    <w:p>
      <w:pPr>
        <w:pStyle w:val="style4"/>
        <w:jc w:val="both"/>
        <w:ind w:left="0" w:right="0" w:firstLine="539"/>
      </w:pPr>
      <w:r>
        <w:t xml:space="preserve">12.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СП </w:t>
        <w:t xml:space="preserve">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определены в Проекте решения с соблюдением норм БК РФ.</w:t>
      </w:r>
    </w:p>
    <w:p>
      <w:pPr>
        <w:pStyle w:val="style6"/>
        <w:jc w:val="both"/>
        <w:spacing w:after="0" w:before="0"/>
        <w:ind w:left="0" w:right="0" w:firstLine="539"/>
      </w:pPr>
    </w:p>
    <w:p>
      <w:pPr>
        <w:pStyle w:val="style4"/>
        <w:jc w:val="both"/>
        <w:ind w:left="0" w:right="0" w:firstLine="539"/>
      </w:pPr>
      <w:r>
        <w:t xml:space="preserve">Контрольно-счетный орган МР « </w:t>
      </w:r>
      <w:r>
        <w:t xml:space="preserve">Куйбышевский</w:t>
      </w:r>
      <w:r>
        <w:t xml:space="preserve"> </w:t>
        <w:t xml:space="preserve"> </w:t>
        <w:t xml:space="preserve">район» предлагает Сельской Думе принять к рассмотрению проект решения сельского поселения </w:t>
        <w:t xml:space="preserve">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</w:t>
      </w:r>
      <w:r>
        <w:t xml:space="preserve"> «</w:t>
      </w:r>
      <w:r>
        <w:rPr>
          <w:bCs/>
        </w:rPr>
        <w:t xml:space="preserve">О бюджете сельского поселения </w:t>
        <w:t xml:space="preserve"> </w:t>
      </w:r>
      <w:r>
        <w:rPr>
          <w:bCs/>
          <w:lang w:eastAsia="ru-RU"/>
        </w:rPr>
        <w:t xml:space="preserve">«</w:t>
      </w:r>
      <w:r>
        <w:rPr>
          <w:b w:val="false"/>
          <w:bCs w:val="false"/>
          <w:lang w:eastAsia="ru-RU"/>
        </w:rPr>
        <w:t xml:space="preserve">Деревня Высокое</w:t>
      </w:r>
      <w:r>
        <w:rPr>
          <w:bCs/>
          <w:lang w:eastAsia="ru-RU"/>
        </w:rPr>
        <w:t xml:space="preserve">» </w:t>
      </w:r>
      <w:r>
        <w:t xml:space="preserve">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</w:t>
      </w:r>
      <w:r>
        <w:rPr>
          <w:bCs/>
        </w:rPr>
        <w:t xml:space="preserve">» </w:t>
      </w:r>
      <w:r>
        <w:t xml:space="preserve">в первом чтении.</w:t>
      </w:r>
    </w:p>
    <w:p>
      <w:pPr>
        <w:pStyle w:val="style4"/>
        <w:jc w:val="center"/>
        <w:ind w:left="0" w:right="0" w:firstLine="539"/>
      </w:pPr>
    </w:p>
    <w:p>
      <w:pPr>
        <w:pStyle w:val="style4"/>
        <w:jc w:val="center"/>
        <w:ind w:left="0" w:right="0" w:firstLine="539"/>
      </w:pPr>
    </w:p>
    <w:p>
      <w:pPr>
        <w:pStyle w:val="style4"/>
      </w:pPr>
    </w:p>
    <w:tbl>
      <w:tblPr>
        <w:tblW w:type="dxa" w:w="8991"/>
        <w:jc w:val="left"/>
        <w:tblLayout w:type="fixed"/>
      </w:tblPr>
      <w:tblGrid>
        <w:gridCol w:w="4140"/>
        <w:gridCol w:w="180"/>
        <w:gridCol w:w="1980"/>
        <w:gridCol w:w="180"/>
        <w:gridCol w:w="2500"/>
      </w:tblGrid>
      <w:tr>
        <w:trPr>
          <w:cantSplit w:val="false"/>
          <w:cantSplit w:val="true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Председатель КСО </w:t>
            </w:r>
          </w:p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МР « </w:t>
            </w:r>
            <w:r>
              <w:rPr>
                <w:b/>
                <w:sz w:val="24"/>
                <w:szCs w:val="24"/>
              </w:rPr>
              <w:t xml:space="preserve">Куйбышевский</w:t>
            </w:r>
            <w:r>
              <w:rPr>
                <w:b/>
                <w:sz w:val="24"/>
                <w:szCs w:val="24"/>
              </w:rPr>
              <w:t xml:space="preserve"> </w:t>
              <w:t xml:space="preserve"> </w:t>
              <w:t xml:space="preserve">район»</w:t>
            </w: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Л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Козлова</w:t>
            </w:r>
          </w:p>
        </w:tc>
      </w:tr>
    </w:tbl>
    <w:p>
      <w:pPr>
        <w:pStyle w:val="style4"/>
      </w:pPr>
    </w:p>
    <w:sectPr>
      <w:type w:val="nextPage"/>
      <w:pgSz w:h="16837" w:w="11905" w:orient="portrait"/>
      <w:pgMar w:bottom="625" w:footer="625" w:gutter="0" w:header="1134" w:left="1134" w:right="1134" w:top="1134"/>
    </w:sectPr>
  </w:body>
</w:document>
</file>

<file path=word/fontTable.xml><?xml version="1.0" encoding="utf-8"?>
<w:fonts xmlns:w="http://schemas.openxmlformats.org/wordprocessingml/2006/main">
  <w:font w:name="Droid Sans Devanagari">
    <w:charset w:val="00"/>
    <w:family w:val="swiss"/>
  </w:font>
  <w:font w:name="Liberation Serif">
    <w:charset w:val="00"/>
    <w:family w:val="roman"/>
    <w:pitch w:val="variable"/>
  </w:font>
  <w:font w:name="PMingLiU-ExtB">
    <w:charset w:val="00"/>
    <w:family w:val="roman"/>
    <w:pitch w:val="variable"/>
  </w:font>
  <w:font w:name="Times New Roman">
    <w:charset w:val="00"/>
    <w:family w:val="roman"/>
    <w:pitch w:val="variable"/>
  </w:font>
  <w:font w:name="Calibri">
    <w:charset w:val="00"/>
    <w:family w:val="swiss"/>
    <w:pitch w:val="variable"/>
  </w:font>
  <w:font w:name="Liberation Sans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>
  <w:footnote w:id="1">
    <w:p>
      <w:r>
        <w:rPr>
          <w:bCs/>
        </w:rPr>
        <w:footnoteRef/>
      </w:r>
      <w:r>
        <w:rPr>
          <w:bCs/>
        </w:rPr>
        <w:t xml:space="preserve"> </w:t>
      </w:r>
      <w:r>
        <w:rPr>
          <w:bCs/>
        </w:rPr>
        <w:t xml:space="preserve">Бюджетный кодекс Российской Федерации (от 31 июля 1998 года № 145-ФЗ, </w:t>
      </w:r>
      <w:r>
        <w:rPr>
          <w:bCs/>
        </w:rPr>
        <w:t xml:space="preserve">(с изм. и доп.)</w:t>
      </w:r>
      <w:r>
        <w:rPr>
          <w:bCs/>
        </w:rPr>
        <w:t xml:space="preserve">)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-"/>
      <w:lvlJc w:val="left"/>
      <w:pPr>
        <w:ind w:left="163" w:hanging="216"/>
      </w:pPr>
      <w:rPr>
        <w:rFonts w:ascii="Times New Roman" w:hAnsi="Times New Roman"/>
      </w:rPr>
    </w:lvl>
    <w:lvl w:ilvl="1">
      <w:start w:val="1"/>
      <w:numFmt w:val="decimal"/>
      <w:suff w:val="tab"/>
      <w:lvlText w:val="%2."/>
      <w:lvlJc w:val="left"/>
      <w:pPr>
        <w:ind w:left="1728" w:hanging="260"/>
      </w:pPr>
    </w:lvl>
    <w:lvl w:ilvl="2">
      <w:numFmt w:val="bullet"/>
      <w:suff w:val="tab"/>
      <w:lvlText w:val="•"/>
      <w:lvlJc w:val="left"/>
      <w:pPr>
        <w:ind w:left="2582" w:hanging="260"/>
      </w:pPr>
      <w:rPr>
        <w:rFonts w:ascii="Liberation Serif" w:hAnsi="Liberation Serif"/>
      </w:rPr>
    </w:lvl>
    <w:lvl w:ilvl="3">
      <w:numFmt w:val="bullet"/>
      <w:suff w:val="tab"/>
      <w:lvlText w:val="•"/>
      <w:lvlJc w:val="left"/>
      <w:pPr>
        <w:ind w:left="3445" w:hanging="260"/>
      </w:pPr>
      <w:rPr>
        <w:rFonts w:ascii="Liberation Serif" w:hAnsi="Liberation Serif"/>
      </w:rPr>
    </w:lvl>
    <w:lvl w:ilvl="4">
      <w:numFmt w:val="bullet"/>
      <w:suff w:val="tab"/>
      <w:lvlText w:val="•"/>
      <w:lvlJc w:val="left"/>
      <w:pPr>
        <w:ind w:left="4308" w:hanging="260"/>
      </w:pPr>
      <w:rPr>
        <w:rFonts w:ascii="Liberation Serif" w:hAnsi="Liberation Serif"/>
      </w:rPr>
    </w:lvl>
    <w:lvl w:ilvl="5">
      <w:numFmt w:val="bullet"/>
      <w:suff w:val="tab"/>
      <w:lvlText w:val="•"/>
      <w:lvlJc w:val="left"/>
      <w:pPr>
        <w:ind w:left="5171" w:hanging="260"/>
      </w:pPr>
      <w:rPr>
        <w:rFonts w:ascii="Liberation Serif" w:hAnsi="Liberation Serif"/>
      </w:rPr>
    </w:lvl>
    <w:lvl w:ilvl="6">
      <w:numFmt w:val="bullet"/>
      <w:suff w:val="tab"/>
      <w:lvlText w:val="•"/>
      <w:lvlJc w:val="left"/>
      <w:pPr>
        <w:ind w:left="6033" w:hanging="260"/>
      </w:pPr>
      <w:rPr>
        <w:rFonts w:ascii="Liberation Serif" w:hAnsi="Liberation Serif"/>
      </w:rPr>
    </w:lvl>
    <w:lvl w:ilvl="7">
      <w:numFmt w:val="bullet"/>
      <w:suff w:val="tab"/>
      <w:lvlText w:val="•"/>
      <w:lvlJc w:val="left"/>
      <w:pPr>
        <w:ind w:left="6897" w:hanging="260"/>
      </w:pPr>
      <w:rPr>
        <w:rFonts w:ascii="Liberation Serif" w:hAnsi="Liberation Serif"/>
      </w:rPr>
    </w:lvl>
    <w:lvl w:ilvl="8">
      <w:numFmt w:val="bullet"/>
      <w:suff w:val="tab"/>
      <w:lvlText w:val="•"/>
      <w:lvlJc w:val="left"/>
      <w:pPr>
        <w:ind w:left="7760" w:hanging="260"/>
      </w:pPr>
      <w:rPr>
        <w:rFonts w:ascii="Liberation Serif" w:hAnsi="Liberation Serif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1" w:type="paragraph">
    <w:name w:val="Normal"/>
    <w:next w:val="style1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4" w:type="paragraph">
    <w:name w:val="Standard"/>
    <w:basedOn w:val="style1"/>
  </w:style>
  <w:style w:styleId="style5" w:type="paragraph">
    <w:name w:val="Heading"/>
    <w:basedOn w:val="style4"/>
    <w:next w:val="style6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6" w:type="paragraph">
    <w:name w:val="Text_20_body"/>
    <w:basedOn w:val="style4"/>
    <w:pPr>
      <w:spacing w:line="288" w:after="140" w:before="0" w:lineRule="auto"/>
    </w:pPr>
  </w:style>
  <w:style w:styleId="style7" w:type="paragraph">
    <w:name w:val="List"/>
    <w:basedOn w:val="style6"/>
    <w:rPr>
      <w:rFonts w:cs="Droid Sans Devanagari"/>
    </w:rPr>
  </w:style>
  <w:style w:styleId="style8" w:type="paragraph">
    <w:name w:val="Caption"/>
    <w:basedOn w:val="style4"/>
    <w:pPr>
      <w:spacing w:after="120" w:before="120"/>
    </w:pPr>
    <w:rPr>
      <w:i/>
      <w:iCs/>
      <w:sz w:val="24"/>
      <w:szCs w:val="24"/>
      <w:rFonts w:cs="Droid Sans Devanagari"/>
    </w:rPr>
  </w:style>
  <w:style w:styleId="style9" w:type="paragraph">
    <w:name w:val="Index"/>
    <w:basedOn w:val="style4"/>
    <w:rPr>
      <w:rFonts w:cs="Droid Sans Devanagari"/>
    </w:rPr>
  </w:style>
  <w:style w:styleId="style10" w:type="paragraph">
    <w:name w:val="Footnote"/>
    <w:basedOn w:val="style4"/>
    <w:pPr>
      <w:ind w:left="339" w:right="0" w:firstLine="-338"/>
    </w:pPr>
    <w:rPr>
      <w:sz w:val="20"/>
      <w:szCs w:val="20"/>
    </w:rPr>
  </w:style>
  <w:style w:styleId="style11" w:type="paragraph">
    <w:name w:val="List_20_Paragraph"/>
    <w:basedOn w:val="style4"/>
    <w:pPr>
      <w:suppressAutoHyphens w:val="false"/>
      <w:ind w:left="163" w:right="0" w:firstLine="-138"/>
    </w:pPr>
    <w:rPr>
      <w:sz w:val="22"/>
      <w:szCs w:val="22"/>
      <w:rFonts w:eastAsia="Calibri"/>
      <w:lang w:val="en-US"/>
    </w:rPr>
  </w:style>
  <w:style w:styleId="style12" w:type="paragraph">
    <w:name w:val="ConsPlusNormal"/>
    <w:basedOn w:val="style1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3" w:type="paragraph">
    <w:name w:val="Должность1"/>
    <w:basedOn w:val="style4"/>
    <w:pPr>
      <w:suppressAutoHyphens w:val="false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4" w:type="paragraph">
    <w:name w:val="подпись"/>
    <w:basedOn w:val="style4"/>
    <w:pPr>
      <w:suppressAutoHyphens w:val="false"/>
      <w:jc w:val="right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5" w:type="paragraph">
    <w:name w:val="Table_20_Contents"/>
    <w:basedOn w:val="style4"/>
  </w:style>
  <w:style w:styleId="style16" w:type="paragraph">
    <w:name w:val="Table_20_Heading"/>
    <w:basedOn w:val="style15"/>
    <w:pPr>
      <w:jc w:val="center"/>
    </w:pPr>
    <w:rPr>
      <w:b/>
      <w:bCs/>
    </w:rPr>
  </w:style>
  <w:style w:styleId="style17" w:type="paragraph">
    <w:name w:val="Heading_20_2"/>
    <w:basedOn w:val="style5"/>
    <w:next w:val="style6"/>
    <w:pPr>
      <w:spacing w:after="120" w:before="200"/>
    </w:pPr>
    <w:rPr>
      <w:b/>
      <w:bCs/>
      <w:sz w:val="32"/>
      <w:szCs w:val="32"/>
    </w:rPr>
  </w:style>
  <w:style w:styleId="style18" w:type="character">
    <w:name w:val="Основной_20_шрифт_20_абзаца"/>
  </w:style>
  <w:style w:styleId="style19" w:type="character">
    <w:name w:val="Internet_20_link"/>
    <w:basedOn w:val="style18"/>
    <w:rPr>
      <w:u w:val="single"/>
      <w:color w:val="0000ff"/>
    </w:rPr>
  </w:style>
  <w:style w:styleId="style20" w:type="character">
    <w:name w:val="Footnote_20_Symbol"/>
    <w:basedOn w:val="style18"/>
    <w:rPr>
      <w:vertAlign w:val="superscript"/>
    </w:rPr>
  </w:style>
  <w:style w:styleId="style21" w:type="character">
    <w:name w:val="WW8Num22z0"/>
    <w:rPr>
      <w:w w:val="99"/>
      <w:sz w:val="24"/>
      <w:spacing w:val="-13"/>
      <w:rFonts w:ascii="Times New Roman" w:hAnsi="Times New Roman" w:eastAsia="Times New Roman" w:cs="Times New Roman"/>
    </w:rPr>
  </w:style>
  <w:style w:styleId="style22" w:type="character">
    <w:name w:val="WW8Num22z1"/>
    <w:rPr>
      <w:b/>
      <w:bCs/>
      <w:w w:val="100"/>
      <w:sz w:val="24"/>
      <w:szCs w:val="24"/>
      <w:rFonts w:ascii="Times New Roman" w:hAnsi="Times New Roman" w:eastAsia="Times New Roman" w:cs="Times New Roman"/>
    </w:rPr>
  </w:style>
  <w:style w:styleId="style23" w:type="character">
    <w:name w:val="WW8Num22z2"/>
  </w:style>
  <w:style w:styleId="style24" w:type="character">
    <w:name w:val="WW8Num22z3"/>
  </w:style>
  <w:style w:styleId="style25" w:type="character">
    <w:name w:val="WW8Num22z4"/>
  </w:style>
  <w:style w:styleId="style26" w:type="character">
    <w:name w:val="WW8Num22z5"/>
  </w:style>
  <w:style w:styleId="style27" w:type="character">
    <w:name w:val="WW8Num22z6"/>
  </w:style>
  <w:style w:styleId="style28" w:type="character">
    <w:name w:val="WW8Num22z7"/>
  </w:style>
  <w:style w:styleId="style29" w:type="character">
    <w:name w:val="WW8Num22z8"/>
  </w:style>
  <w:style w:styleId="style30" w:type="character">
    <w:name w:val="docaccess_5f_title1"/>
    <w:basedOn w:val="style18"/>
    <w:rPr>
      <w:sz w:val="28"/>
      <w:szCs w:val="28"/>
      <w:rFonts w:ascii="Times New Roman" w:hAnsi="Times New Roman" w:cs="Times New Roman"/>
    </w:rPr>
  </w:style>
  <w:style w:styleId="style31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6FD0FD59042861BC80846495AA01D22F5508667E4A93BBAB9C084E69C7BA2CD370795662A6D4LFmFL" TargetMode="External"/><Relationship Id="rHpId2" Type="http://schemas.openxmlformats.org/officeDocument/2006/relationships/hyperlink" Target="consultantplus://offline/ref=8691F0E4513D6E3EFDFD274CE19FE6A6BEBB3FCD5CC03BE607ACE9A06370106195F83B0A5EE943A6CB8537BF7DL" TargetMode="External"/><Relationship Id="rHpId3" Type="http://schemas.openxmlformats.org/officeDocument/2006/relationships/hyperlink" Target="consultantplus://offline/ref=8691F0E4513D6E3EFDFD274CE19FE6A6BEBB3FCD5CC03BE607ACE9A06370106195F83B0A5EE943A6CB8537BF7DL" TargetMode="External"/><Relationship Id="rHpId4" Type="http://schemas.openxmlformats.org/officeDocument/2006/relationships/hyperlink" Target="consultantplus://offline/ref=8691F0E4513D6E3EFDFD274CE19FE6A6BEBB3FCD5CC03BE607ACE9A06370106195F83B0A5EE943A6CB8537BF7DL" TargetMode="External"/><Relationship Id="rHpId5" Type="http://schemas.openxmlformats.org/officeDocument/2006/relationships/hyperlink" Target="consultantplus://offline/ref=8691F0E4513D6E3EFDFD274CE19FE6A6BEBB3FCD5CC03BE607ACE9A06370106195F83B0A5EE943A6CB8537BF7DL" TargetMode="External"/><Relationship Id="rHpId6" Type="http://schemas.openxmlformats.org/officeDocument/2006/relationships/hyperlink" Target="consultantplus://offline/ref=8691F0E4513D6E3EFDFD274CE19FE6A6BEBB3FCD5CC03BE607ACE9A06370106195F83B0A5EE943A6CB8537BF7DL" TargetMode="External"/><Relationship Id="rHpId7" Type="http://schemas.openxmlformats.org/officeDocument/2006/relationships/hyperlink" Target="consultantplus://offline/ref=8691F0E4513D6E3EFDFD274CE19FE6A6BEBB3FCD5CC03BE607ACE9A06370106195F83B0A5EE943A6CB8537BF7DL" TargetMode="External"/><Relationship Id="rHpId8" Type="http://schemas.openxmlformats.org/officeDocument/2006/relationships/hyperlink" Target="consultantplus://offline/ref=8691F0E4513D6E3EFDFD274CE19FE6A6BEBB3FCD5CC03BE607ACE9A06370106195F83B0A5EE943A6CB8537BF7DL" TargetMode="External"/><Relationship Id="rHpId9" Type="http://schemas.openxmlformats.org/officeDocument/2006/relationships/hyperlink" Target="consultantplus://offline/ref=8691F0E4513D6E3EFDFD274CE19FE6A6BEBB3FCD5CC03BE607ACE9A06370106195F83B0A5EE943A6CB8537BF7DL" TargetMode="External"/><Relationship Id="rHpId10" Type="http://schemas.openxmlformats.org/officeDocument/2006/relationships/hyperlink" Target="consultantplus://offline/ref=8691F0E4513D6E3EFDFD274CE19FE6A6BEBB3FCD5CC03BE607ACE9A06370106195F83B0A5EE943A6CB8537BF7DL" TargetMode="External"/><Relationship Id="rHpId11" Type="http://schemas.openxmlformats.org/officeDocument/2006/relationships/hyperlink" Target="consultantplus://offline/ref=8691F0E4513D6E3EFDFD274CE19FE6A6BEBB3FCD5CC03BE607ACE9A06370106195F83B0A5EE943A6CB8537BF7DL" TargetMode="External"/><Relationship Id="rHpId12" Type="http://schemas.openxmlformats.org/officeDocument/2006/relationships/hyperlink" Target="consultantplus://offline/ref=8691F0E4513D6E3EFDFD274CE19FE6A6BEBB3FCD5CC03BE607ACE9A06370106195F83B0A5EE943A6CB8537BF7DL" TargetMode="External"/><Relationship Id="rHpId13" Type="http://schemas.openxmlformats.org/officeDocument/2006/relationships/hyperlink" Target="consultantplus://offline/ref=8691F0E4513D6E3EFDFD274CE19FE6A6BEBB3FCD5CC03BE607ACE9A06370106195F83B0A5EE943A6CB8537BF7DL" TargetMode="External"/><Relationship Id="rHpId14" Type="http://schemas.openxmlformats.org/officeDocument/2006/relationships/hyperlink" Target="consultantplus://offline/ref=8691F0E4513D6E3EFDFD274CE19FE6A6BEBB3FCD5CC03BE607ACE9A06370106195F83B0A5EE943A6CB8537BF7DL" TargetMode="External"/><Relationship Id="rHpId15" Type="http://schemas.openxmlformats.org/officeDocument/2006/relationships/hyperlink" Target="consultantplus://offline/ref=8691F0E4513D6E3EFDFD274CE19FE6A6BEBB3FCD5CC03BE607ACE9A06370106195F83B0A5EE943A6CB8537BF7DL" TargetMode="External"/><Relationship Id="rHpId16" Type="http://schemas.openxmlformats.org/officeDocument/2006/relationships/hyperlink" Target="consultantplus://offline/ref=8691F0E4513D6E3EFDFD274CE19FE6A6BEBB3FCD5CC03BE607ACE9A06370106195F83B0A5EE943A6CB8537BF7DL" TargetMode="External"/><Relationship Id="rHpId17" Type="http://schemas.openxmlformats.org/officeDocument/2006/relationships/hyperlink" Target="consultantplus://offline/ref=8691F0E4513D6E3EFDFD274CE19FE6A6BEBB3FCD5CC03BE607ACE9A06370106195F83B0A5EE943A6CB8537BF7DL" TargetMode="External"/><Relationship Id="rHpId18" Type="http://schemas.openxmlformats.org/officeDocument/2006/relationships/hyperlink" Target="consultantplus://offline/ref=8691F0E4513D6E3EFDFD274CE19FE6A6BEBB3FCD5CC03BE607ACE9A06370106195F83B0A5EE943A6CB8537BF7DL" TargetMode="External"/><Relationship Id="rHpId19" Type="http://schemas.openxmlformats.org/officeDocument/2006/relationships/hyperlink" Target="consultantplus://offline/ref=8691F0E4513D6E3EFDFD274CE19FE6A6BEBB3FCD5CC03BE607ACE9A06370106195F83B0A5EE943A6CB8537BF7DL" TargetMode="External"/><Relationship Id="rHpId20" Type="http://schemas.openxmlformats.org/officeDocument/2006/relationships/hyperlink" Target="consultantplus://offline/ref=8691F0E4513D6E3EFDFD274CE19FE6A6BEBB3FCD5CC03BE607ACE9A06370106195F83B0A5EE943A6CB8537BF7DL" TargetMode="External"/><Relationship Id="rHpId21" Type="http://schemas.openxmlformats.org/officeDocument/2006/relationships/hyperlink" Target="http://adm-zhizdra.ru/organizatsionnaia-deiatelnost-kso" TargetMode="External"/><Relationship Id="rHpId22" Type="http://schemas.openxmlformats.org/officeDocument/2006/relationships/hyperlink" Target="http://adm-zhizdra.ru/organizatsionnaia-deiatelnost-kso" TargetMode="External"/><Relationship Id="rHpId23" Type="http://schemas.openxmlformats.org/officeDocument/2006/relationships/hyperlink" Target="http://adm-zhizdra.ru/organizatsionnaia-deiatelnost-kso" TargetMode="External"/><Relationship Id="rHpId24" Type="http://schemas.openxmlformats.org/officeDocument/2006/relationships/hyperlink" Target="http://adm-zhizdra.ru/organizatsionnaia-deiatelnost-kso" TargetMode="External"/><Relationship Id="rHpId25" Type="http://schemas.openxmlformats.org/officeDocument/2006/relationships/hyperlink" Target="http://adm-zhizdra.ru/organizatsionnaia-deiatelnost-kso" TargetMode="External"/><Relationship Id="rFNId1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