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6"/>
        <w:jc w:val="center"/>
      </w:pPr>
    </w:p>
    <w:p>
      <w:pPr>
        <w:pStyle w:val="style6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6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6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  <w:p>
            <w:pPr>
              <w:pStyle w:val="style6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6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 ноября 2020года </w:t>
            </w:r>
            <w:r>
              <w:rPr>
                <w:sz w:val="20"/>
                <w:szCs w:val="20"/>
              </w:rPr>
              <w:t xml:space="preserve">№26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</w:tc>
      </w:tr>
    </w:tbl>
    <w:p>
      <w:pPr>
        <w:pStyle w:val="style6"/>
        <w:jc w:val="center"/>
      </w:pPr>
      <w:r>
        <w:rPr>
          <w:b/>
          <w:spacing w:val="40"/>
        </w:rPr>
        <w:t xml:space="preserve">муниципального района «</w:t>
      </w:r>
      <w:r>
        <w:rPr>
          <w:b/>
          <w:spacing w:val="40"/>
        </w:rPr>
        <w:t xml:space="preserve">Куйбышевский район</w:t>
      </w:r>
      <w:r>
        <w:rPr>
          <w:b/>
          <w:spacing w:val="40"/>
        </w:rPr>
        <w:t xml:space="preserve">» </w:t>
      </w:r>
    </w:p>
    <w:p>
      <w:pPr>
        <w:pStyle w:val="style6"/>
        <w:jc w:val="center"/>
      </w:pPr>
    </w:p>
    <w:p>
      <w:pPr>
        <w:pStyle w:val="style6"/>
      </w:pPr>
    </w:p>
    <w:p>
      <w:pPr>
        <w:pStyle w:val="style6"/>
      </w:pPr>
    </w:p>
    <w:p>
      <w:pPr>
        <w:pStyle w:val="style6"/>
        <w:jc w:val="center"/>
      </w:pPr>
      <w:r>
        <w:rPr>
          <w:b/>
          <w:sz w:val="28"/>
          <w:szCs w:val="28"/>
          <w:spacing w:val="52"/>
        </w:rPr>
        <w:t xml:space="preserve">ЗАКЛЮЧЕНИЕ</w:t>
      </w:r>
    </w:p>
    <w:p>
      <w:pPr>
        <w:pStyle w:val="style6"/>
        <w:jc w:val="center"/>
      </w:pPr>
      <w:r>
        <w:rPr>
          <w:b/>
        </w:rPr>
        <w:t xml:space="preserve">о соответствии документов и материалов представленных одновременно</w:t>
      </w:r>
    </w:p>
    <w:p>
      <w:pPr>
        <w:pStyle w:val="style6"/>
        <w:jc w:val="center"/>
      </w:pPr>
      <w:r>
        <w:rPr>
          <w:b/>
        </w:rPr>
        <w:t xml:space="preserve">с проектом решения о бюджете </w:t>
      </w:r>
      <w:r>
        <w:rPr>
          <w:b/>
        </w:rPr>
        <w:t xml:space="preserve">муниципального образования </w:t>
      </w:r>
      <w:r>
        <w:rPr>
          <w:b/>
        </w:rPr>
        <w:t xml:space="preserve"> </w:t>
      </w:r>
      <w:r>
        <w:rPr>
          <w:b/>
        </w:rPr>
        <w:t xml:space="preserve">сельского поселения </w:t>
      </w:r>
      <w:r>
        <w:rPr>
          <w:b/>
        </w:rPr>
        <w:t xml:space="preserve">«</w:t>
      </w:r>
      <w:r>
        <w:rPr>
          <w:b/>
          <w:spacing w:val="40"/>
        </w:rPr>
        <w:t xml:space="preserve">Деревня Высокое</w:t>
      </w:r>
      <w:r>
        <w:rPr>
          <w:b/>
        </w:rPr>
        <w:t xml:space="preserve">» </w:t>
      </w:r>
    </w:p>
    <w:p>
      <w:pPr>
        <w:pStyle w:val="style6"/>
        <w:jc w:val="center"/>
      </w:pPr>
      <w:r>
        <w:rPr>
          <w:b/>
        </w:rPr>
        <w:t xml:space="preserve">на 20</w:t>
      </w:r>
      <w:r>
        <w:rPr>
          <w:b/>
        </w:rPr>
        <w:t xml:space="preserve">21</w:t>
      </w:r>
      <w:r>
        <w:rPr>
          <w:b/>
        </w:rPr>
        <w:t xml:space="preserve"> год и плановый период 202</w:t>
      </w:r>
      <w:r>
        <w:rPr>
          <w:b/>
        </w:rPr>
        <w:t xml:space="preserve">2</w:t>
      </w:r>
      <w:r>
        <w:rPr>
          <w:b/>
        </w:rPr>
        <w:t xml:space="preserve">- 202</w:t>
      </w:r>
      <w:r>
        <w:rPr>
          <w:b/>
        </w:rPr>
        <w:t xml:space="preserve">3</w:t>
      </w:r>
      <w:r>
        <w:rPr>
          <w:b/>
        </w:rPr>
        <w:t xml:space="preserve">годов</w:t>
      </w:r>
    </w:p>
    <w:p>
      <w:pPr>
        <w:pStyle w:val="style6"/>
        <w:jc w:val="center"/>
        <w:ind w:left="0" w:right="0" w:firstLine="540"/>
      </w:pPr>
      <w:r>
        <w:rPr>
          <w:b/>
        </w:rPr>
        <w:t xml:space="preserve">требованиям </w:t>
      </w:r>
      <w:r>
        <w:rPr>
          <w:b/>
          <w:bCs/>
        </w:rPr>
        <w:t xml:space="preserve">Положения о бюджетном процессе в </w:t>
      </w:r>
    </w:p>
    <w:p>
      <w:pPr>
        <w:pStyle w:val="style6"/>
        <w:jc w:val="center"/>
        <w:ind w:left="0" w:right="0" w:firstLine="540"/>
      </w:pPr>
      <w:r>
        <w:rPr>
          <w:b/>
          <w:bCs/>
        </w:rPr>
        <w:t xml:space="preserve">сельском поселении «</w:t>
      </w:r>
      <w:r>
        <w:rPr>
          <w:b/>
          <w:bCs/>
          <w:spacing w:val="40"/>
        </w:rPr>
        <w:t xml:space="preserve">Деревня Высокое</w:t>
      </w:r>
      <w:r>
        <w:rPr>
          <w:b/>
          <w:bCs/>
        </w:rPr>
        <w:t xml:space="preserve">»</w:t>
      </w:r>
    </w:p>
    <w:p>
      <w:pPr>
        <w:pStyle w:val="style6"/>
        <w:jc w:val="both"/>
        <w:spacing w:line="240" w:after="1" w:before="0" w:lineRule="atLeast"/>
        <w:ind w:left="0" w:right="0" w:firstLine="720"/>
      </w:pPr>
      <w:r>
        <w:rPr>
          <w:bCs/>
        </w:rPr>
        <w:t xml:space="preserve">Заключение о соответствии документов и материалов представленных одновременно с проектом решения о бюджете </w:t>
      </w:r>
      <w:r>
        <w:rPr>
          <w:bCs/>
        </w:rPr>
        <w:t xml:space="preserve">сельского</w:t>
      </w:r>
      <w:r>
        <w:rPr>
          <w:b/>
          <w:bCs/>
        </w:rPr>
        <w:t xml:space="preserve"> </w:t>
      </w:r>
      <w:r>
        <w:rPr>
          <w:b w:val="false"/>
          <w:bCs w:val="false"/>
        </w:rPr>
        <w:t xml:space="preserve">поселении «</w:t>
      </w:r>
      <w:r>
        <w:rPr>
          <w:b w:val="false"/>
          <w:bCs w:val="false"/>
          <w:spacing w:val="40"/>
        </w:rPr>
        <w:t xml:space="preserve">Деревня Высокое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 - 202</w:t>
      </w:r>
      <w:r>
        <w:rPr>
          <w:bCs/>
        </w:rPr>
        <w:t xml:space="preserve">3</w:t>
      </w:r>
      <w:r>
        <w:rPr>
          <w:bCs/>
        </w:rPr>
        <w:t xml:space="preserve"> годов требованиям Положения о бюджетном процессе в </w:t>
      </w:r>
      <w:r>
        <w:rPr>
          <w:bCs/>
        </w:rPr>
        <w:t xml:space="preserve">сельском поселен</w:t>
      </w:r>
      <w:r>
        <w:rPr>
          <w:bCs/>
        </w:rPr>
        <w:t xml:space="preserve">ия «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spacing w:val="40"/>
        </w:rPr>
        <w:t xml:space="preserve">Деревня Высокое </w:t>
      </w:r>
      <w:r>
        <w:rPr>
          <w:b w:val="false"/>
          <w:bCs w:val="false"/>
        </w:rPr>
        <w:t xml:space="preserve">»</w:t>
      </w:r>
      <w:r>
        <w:rPr>
          <w:bCs/>
        </w:rPr>
        <w:t xml:space="preserve">(далее – Положения), </w:t>
      </w:r>
      <w:hyperlink r:id="rHpId1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«Бюджетный кодекс Российской Федерации» от 31.07.1998 № 145-ФЗ (ред. от 03.08.2019, с изм. от 11.10.2019)</w:t>
        </w:r>
      </w:hyperlink>
      <w:r>
        <w:t xml:space="preserve"> </w:t>
      </w:r>
      <w:r>
        <w:rPr>
          <w:bCs/>
        </w:rPr>
        <w:t xml:space="preserve">подготовлено Контрольно - счетным органом муниципального района «</w:t>
      </w:r>
      <w:r>
        <w:rPr>
          <w:b w:val="false"/>
          <w:bCs w:val="false"/>
          <w:spacing w:val="40"/>
        </w:rPr>
        <w:t xml:space="preserve">Куйбышевский район</w:t>
      </w:r>
      <w:r>
        <w:rPr>
          <w:b/>
          <w:bCs/>
          <w:spacing w:val="40"/>
        </w:rPr>
        <w:t xml:space="preserve"> </w:t>
      </w:r>
      <w:r>
        <w:rPr>
          <w:bCs/>
        </w:rPr>
        <w:t xml:space="preserve">» (далее - КСО) на </w:t>
      </w:r>
      <w:r>
        <w:t xml:space="preserve">основании</w:t>
      </w:r>
      <w:hyperlink r:id="rHpId2">
        <w:r>
          <w:rPr>
            <w:rStyle w:val="style31"/>
          </w:rPr>
        </w:r>
        <w:r>
          <w:rPr>
            <w:rStyle w:val="style31"/>
            <w:i/>
            <w:color w:val="0000ff"/>
          </w:rPr>
          <w:br/>
        </w:r>
      </w:hyperlink>
      <w:hyperlink r:id="rHpId3">
        <w:r>
          <w:rPr>
            <w:rStyle w:val="style31"/>
          </w:rPr>
        </w:r>
        <w:r>
          <w:rPr>
            <w:rStyle w:val="style31"/>
            <w:i/>
            <w:color w:val="0000ff"/>
          </w:rPr>
          <w:t xml:space="preserve"> </w:t>
        </w:r>
      </w:hyperlink>
      <w:r>
        <w:rPr>
          <w:iCs/>
        </w:rPr>
        <w:t xml:space="preserve">Решения </w:t>
      </w:r>
      <w:r>
        <w:rPr>
          <w:iCs/>
        </w:rPr>
        <w:t xml:space="preserve">Сельской Думы</w:t>
      </w:r>
      <w:r>
        <w:rPr>
          <w:iCs/>
        </w:rPr>
        <w:t xml:space="preserve"> 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rPr>
          <w:b w:val="false"/>
          <w:bCs w:val="false"/>
          <w:iCs/>
        </w:rPr>
        <w:t xml:space="preserve">«</w:t>
      </w:r>
      <w:r>
        <w:rPr>
          <w:b w:val="false"/>
          <w:bCs w:val="false"/>
          <w:iCs/>
          <w:spacing w:val="40"/>
        </w:rPr>
        <w:t xml:space="preserve">Деревня Высокое</w:t>
      </w:r>
      <w:r>
        <w:rPr>
          <w:b w:val="false"/>
          <w:bCs w:val="false"/>
          <w:iCs/>
        </w:rPr>
        <w:t xml:space="preserve">»</w:t>
      </w:r>
      <w:r>
        <w:rPr>
          <w:b/>
          <w:bCs/>
          <w:iCs/>
        </w:rPr>
        <w:t xml:space="preserve"> </w:t>
        <w:t xml:space="preserve">  </w:t>
      </w:r>
      <w:r>
        <w:rPr>
          <w:b w:val="false"/>
          <w:bCs w:val="false"/>
          <w:iCs/>
        </w:rPr>
        <w:t xml:space="preserve">«Об утверждении Положен</w:t>
      </w:r>
      <w:r>
        <w:rPr>
          <w:iCs/>
        </w:rPr>
        <w:t xml:space="preserve">ия о бюджетном процессе в </w:t>
      </w:r>
      <w:r>
        <w:rPr>
          <w:iCs/>
        </w:rPr>
        <w:t xml:space="preserve">МО СП « </w:t>
      </w:r>
      <w:r>
        <w:rPr>
          <w:b w:val="false"/>
          <w:bCs w:val="false"/>
          <w:iCs/>
          <w:spacing w:val="40"/>
        </w:rPr>
        <w:t xml:space="preserve">Деревня Высокое</w:t>
      </w:r>
      <w:r>
        <w:rPr>
          <w:iCs/>
        </w:rPr>
        <w:t xml:space="preserve">»</w:t>
      </w:r>
      <w:r>
        <w:t xml:space="preserve"> </w:t>
      </w:r>
      <w:r>
        <w:rPr>
          <w:iCs/>
        </w:rPr>
        <w:t xml:space="preserve">от </w:t>
      </w:r>
      <w:r>
        <w:rPr>
          <w:iCs/>
        </w:rPr>
        <w:t xml:space="preserve">1</w:t>
      </w:r>
      <w:r>
        <w:rPr>
          <w:iCs/>
        </w:rPr>
        <w:t xml:space="preserve">4</w:t>
      </w:r>
      <w:r>
        <w:rPr>
          <w:iCs/>
        </w:rPr>
        <w:t xml:space="preserve">.</w:t>
      </w:r>
      <w:r>
        <w:rPr>
          <w:iCs/>
        </w:rPr>
        <w:t xml:space="preserve">12.2005</w:t>
      </w:r>
      <w:r>
        <w:rPr>
          <w:iCs/>
        </w:rPr>
        <w:t xml:space="preserve"> № </w:t>
      </w:r>
      <w:r>
        <w:rPr>
          <w:iCs/>
        </w:rPr>
        <w:t xml:space="preserve">1</w:t>
      </w:r>
      <w:r>
        <w:rPr>
          <w:iCs/>
        </w:rPr>
        <w:t xml:space="preserve">8</w:t>
      </w:r>
      <w:r>
        <w:rPr>
          <w:iCs/>
        </w:rPr>
        <w:t xml:space="preserve">(с изм. и доп.))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Администрацией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Деревня Высокое</w:t>
      </w:r>
      <w:r>
        <w:rPr>
          <w:b w:val="false"/>
          <w:bCs w:val="false"/>
          <w:spacing w:val="40"/>
        </w:rPr>
        <w:t xml:space="preserve">»</w:t>
      </w:r>
      <w:r>
        <w:t xml:space="preserve"> в соответствии с п. 1 с</w:t>
      </w:r>
      <w:r>
        <w:t xml:space="preserve">т.3</w:t>
      </w:r>
      <w:r>
        <w:t xml:space="preserve"> </w:t>
      </w:r>
      <w:r>
        <w:rPr>
          <w:bCs/>
        </w:rPr>
        <w:t xml:space="preserve">Положения</w:t>
      </w:r>
      <w:r>
        <w:t xml:space="preserve"> внесен на рассмотрение </w:t>
      </w:r>
      <w:r>
        <w:t xml:space="preserve">Сельской Думы </w:t>
      </w:r>
      <w:r>
        <w:t xml:space="preserve"> </w:t>
        <w:t xml:space="preserve">проект решения о бюджете </w:t>
      </w:r>
      <w:r>
        <w:t xml:space="preserve">поселения</w:t>
      </w:r>
      <w:r>
        <w:t xml:space="preserve">. </w:t>
      </w:r>
    </w:p>
    <w:p>
      <w:pPr>
        <w:pStyle w:val="style6"/>
        <w:jc w:val="both"/>
        <w:ind w:left="0" w:right="0" w:firstLine="540"/>
      </w:pPr>
      <w:r>
        <w:t xml:space="preserve">Проект решения внесен в срок, установленный Положением.</w:t>
      </w:r>
    </w:p>
    <w:p>
      <w:pPr>
        <w:pStyle w:val="style6"/>
        <w:jc w:val="both"/>
        <w:ind w:left="0" w:right="0" w:firstLine="540"/>
      </w:pPr>
      <w:r>
        <w:t xml:space="preserve">Одновременно с проектом решения о бюджете на очередной финансовый год и плановый период представлены следующие документы и материалы в соответствии со</w:t>
      </w:r>
      <w:hyperlink r:id="rHpId4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"Бюджетного кодекса Российской Федерации" от 31.07.1998 № 145-ФЗ (ред. от 03.08.2019, с изм. от 11.10.2019)</w:t>
        </w:r>
      </w:hyperlink>
      <w:r>
        <w:t xml:space="preserve"> и </w:t>
      </w:r>
      <w:hyperlink r:id="rHpId5">
        <w:r>
          <w:rPr>
            <w:rStyle w:val="style31"/>
          </w:rPr>
        </w:r>
        <w:r>
          <w:rPr>
            <w:rStyle w:val="style31"/>
            <w:color w:val="0000ff"/>
          </w:rPr>
          <w:t xml:space="preserve">статьей </w:t>
        </w:r>
      </w:hyperlink>
      <w:hyperlink r:id="rHpId6">
        <w:r>
          <w:rPr>
            <w:rStyle w:val="style31"/>
          </w:rPr>
        </w:r>
        <w:r>
          <w:rPr>
            <w:rStyle w:val="style31"/>
            <w:color w:val="0000ff"/>
          </w:rPr>
          <w:t xml:space="preserve">5</w:t>
        </w:r>
      </w:hyperlink>
      <w:r>
        <w:rPr>
          <w:color w:val="0000ff"/>
        </w:rPr>
        <w:t xml:space="preserve"> </w:t>
      </w:r>
      <w:r>
        <w:t xml:space="preserve">настоящего Положения:</w:t>
      </w:r>
    </w:p>
    <w:p>
      <w:pPr>
        <w:pStyle w:val="style6"/>
        <w:jc w:val="both"/>
        <w:ind w:left="0" w:right="0" w:firstLine="540"/>
      </w:pPr>
      <w:r>
        <w:t xml:space="preserve">1) основные направления бюджетной и налоговой политики;</w:t>
      </w:r>
    </w:p>
    <w:p>
      <w:pPr>
        <w:pStyle w:val="style6"/>
        <w:jc w:val="both"/>
        <w:ind w:left="0" w:right="0" w:firstLine="540"/>
      </w:pPr>
      <w:r>
        <w:t xml:space="preserve">2) предварительные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Деревня Высокое</w:t>
      </w:r>
      <w:r>
        <w:rPr>
          <w:b w:val="false"/>
          <w:bCs w:val="false"/>
          <w:spacing w:val="40"/>
        </w:rPr>
        <w:t xml:space="preserve">»</w:t>
      </w:r>
      <w:r>
        <w:t xml:space="preserve"> за истекший период текущего финансового года и ожидаемые итоги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Деревня Высокое</w:t>
      </w:r>
      <w:r>
        <w:rPr>
          <w:b w:val="false"/>
          <w:bCs w:val="false"/>
          <w:spacing w:val="40"/>
        </w:rPr>
        <w:t xml:space="preserve">»</w:t>
      </w:r>
      <w:r>
        <w:t xml:space="preserve">за текущий финансовый год</w:t>
      </w:r>
    </w:p>
    <w:p>
      <w:pPr>
        <w:pStyle w:val="style6"/>
        <w:jc w:val="both"/>
        <w:ind w:left="0" w:right="0" w:firstLine="540"/>
      </w:pPr>
      <w:r>
        <w:t xml:space="preserve">3) прогноз социально-экономического развития </w:t>
      </w:r>
      <w:r>
        <w:rPr>
          <w:iCs/>
        </w:rPr>
        <w:t xml:space="preserve">муниципального образования</w:t>
      </w:r>
      <w:r>
        <w:rPr>
          <w:b/>
          <w:iCs/>
        </w:rPr>
        <w:t xml:space="preserve"> 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Cs/>
        </w:rPr>
        <w:t xml:space="preserve">сельского поселения </w:t>
      </w:r>
      <w:r>
        <w:t xml:space="preserve"> 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  <w:iCs/>
          <w:spacing w:val="40"/>
        </w:rPr>
        <w:t xml:space="preserve">Деревня Высокое</w:t>
      </w:r>
      <w:r>
        <w:rPr>
          <w:b w:val="false"/>
          <w:bCs w:val="false"/>
          <w:spacing w:val="40"/>
        </w:rPr>
        <w:t xml:space="preserve">»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</w:t>
      </w:r>
      <w:r>
        <w:t xml:space="preserve">поселения</w:t>
      </w:r>
      <w:r>
        <w:t xml:space="preserve"> на очередной финансовый год и плановый период;</w:t>
      </w:r>
    </w:p>
    <w:p>
      <w:pPr>
        <w:pStyle w:val="style6"/>
        <w:jc w:val="both"/>
        <w:ind w:left="0" w:right="0" w:firstLine="540"/>
      </w:pPr>
      <w:r>
        <w:t xml:space="preserve">5) пояснительная записка к проекту бюджета </w:t>
      </w:r>
      <w:r>
        <w:t xml:space="preserve">поселения</w:t>
      </w:r>
      <w:r>
        <w:t xml:space="preserve">;</w:t>
      </w:r>
    </w:p>
    <w:p>
      <w:pPr>
        <w:pStyle w:val="style6"/>
        <w:jc w:val="both"/>
        <w:ind w:left="0" w:right="0" w:firstLine="540"/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6"/>
        <w:jc w:val="both"/>
        <w:ind w:left="0" w:right="0" w:firstLine="540"/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6"/>
        <w:jc w:val="both"/>
        <w:ind w:left="0" w:right="0" w:firstLine="540"/>
      </w:pPr>
      <w:r>
        <w:t xml:space="preserve">8) оценка ожидаемого исполнения бюджета </w:t>
      </w:r>
      <w:r>
        <w:t xml:space="preserve">поселения</w:t>
      </w:r>
      <w:r>
        <w:t xml:space="preserve"> на текущий финансовый год;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9</w:t>
      </w:r>
      <w:r>
        <w:t xml:space="preserve">) перечень муниципальных и ведомственных программ, финансируемых за счет средств бюджета </w:t>
      </w:r>
      <w:r>
        <w:t xml:space="preserve">поселения </w:t>
      </w:r>
      <w:r>
        <w:t xml:space="preserve">в очередном финансовом году и плановом периоде.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rPr>
          <w:b/>
        </w:rPr>
        <w:t xml:space="preserve">Выводы по результатам экспертизы: 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Учитывая вышеизложенное, документы и материалы, представленные одновременно с проектом решения о бюджете </w:t>
      </w:r>
      <w:r>
        <w:t xml:space="preserve">поселения</w:t>
      </w:r>
      <w:r>
        <w:t xml:space="preserve"> на очередной финансовый год и плановый период соответствуют требованиям Бюджетного кодекса Российской Федерации и статьи </w:t>
      </w:r>
      <w:r>
        <w:t xml:space="preserve">5</w:t>
      </w:r>
      <w:r>
        <w:t xml:space="preserve"> Положения о бюджетном процессе.</w:t>
      </w:r>
    </w:p>
    <w:p>
      <w:pPr>
        <w:pStyle w:val="style6"/>
        <w:jc w:val="both"/>
        <w:ind w:left="0" w:right="0" w:firstLine="540"/>
      </w:pPr>
      <w:r>
        <w:t xml:space="preserve">Проект решения о бюджете </w:t>
      </w:r>
      <w:r>
        <w:t xml:space="preserve">поселения</w:t>
      </w:r>
      <w:r>
        <w:t xml:space="preserve"> на очередной финансовый год и плановый период может быть принят к рассмотрению </w:t>
      </w:r>
      <w:r>
        <w:rPr>
          <w:iCs/>
        </w:rPr>
        <w:t xml:space="preserve">Сельской Дум</w:t>
      </w:r>
      <w:r>
        <w:rPr>
          <w:iCs/>
        </w:rPr>
        <w:t xml:space="preserve">ой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Председатель КСО </w:t>
        <w:t xml:space="preserve">                                       </w:t>
      </w:r>
      <w:r>
        <w:t xml:space="preserve">Л.А.Козлова</w:t>
      </w:r>
    </w:p>
    <w:p>
      <w:pPr>
        <w:pStyle w:val="style6"/>
        <w:jc w:val="both"/>
        <w:ind w:left="0" w:right="0" w:firstLine="540"/>
      </w:pPr>
    </w:p>
    <w:sectPr>
      <w:type w:val="nextPage"/>
      <w:footerReference r:id="rHFId1" w:type="default"/>
      <w:pgSz w:h="16837" w:w="11905" w:orient="portrait"/>
      <w:pgMar w:bottom="711" w:footer="708" w:gutter="0" w:header="719" w:left="1701" w:right="566" w:top="719"/>
    </w:sectPr>
  </w:body>
</w:document>
</file>

<file path=word/fontTable.xml><?xml version="1.0" encoding="utf-8"?>
<w:fonts xmlns:w="http://schemas.openxmlformats.org/wordprocessingml/2006/main">
  <w:font w:name="Wingdings">
    <w:charset w:val="02"/>
    <w:family w:val="auto"/>
    <w:pitch w:val="variable"/>
  </w:font>
  <w:font w:name="Courier New">
    <w:charset w:val="00"/>
    <w:family w:val="modern"/>
  </w:font>
  <w:font w:name="Droid Sans Devanagari">
    <w:charset w:val="00"/>
    <w:family w:val="swiss"/>
  </w:font>
  <w:font w:name="Liberation Serif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0"/>
    <w:family w:val="roman"/>
    <w:pitch w:val="variable"/>
  </w:font>
  <w:font w:name="Arial">
    <w:charset w:val="00"/>
    <w:family w:val="swiss"/>
    <w:pitch w:val="variable"/>
  </w:font>
  <w:font w:name="Liberation Sans">
    <w:charset w:val="00"/>
    <w:family w:val="swiss"/>
    <w:pitch w:val="variable"/>
  </w:font>
  <w:font w:name="Verdana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r>
      <w:drawing>
        <wp:anchor simplePos="0" locked="0" layoutInCell="1" allowOverlap="1" relativeHeight="3" behindDoc="0" distL="0" distT="0" distR="0" distB="0">
          <wp:simplePos x="0" y="0"/>
          <wp:positionH relativeFrom="margin">
            <wp:align>right</wp:align>
          </wp:positionH>
          <wp:positionV relativeFrom="paragraph">
            <wp:posOffset>719</wp:posOffset>
          </wp:positionV>
          <wp:extent cx="14759" cy="20878"/>
          <wp:effectExtent l="0" t="0" r="0" b="0"/>
          <wp:wrapSquare wrapText="largest"/>
          <wp:docPr name="Врезка1" id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microsoft.com/office/word/2010/wordprocessingShape">
              <wps:wsp>
                <wps:cNvSpPr txBox="1">
                  <a:spLocks noChangeAspect="1"/>
                </wps:cNvSpPr>
                <wps:spPr>
                  <a:xfrm>
                    <a:off x="0" y="0"/>
                    <a:ext cx="14759" cy="20878"/>
                  </a:xfrm>
                  <a:prstGeom prst="rect"/>
                  <a:solidFill>
                    <a:srgbClr val="729fcf"/>
                  </a:solidFill>
                  <a:ln>
                    <a:solidFill>
                      <a:srgbClr val="3465a4"/>
                    </a:solidFill>
                  </a:ln>
                </wps:spPr>
                <wps:txbx>
                  <w:txbxContent>
                    <w:p>
                      <w:r/>
                      <w:r>
                        <w:fldChar w:fldCharType="begin"/>
                      </w:r>
                      <w:r>
                        <w:instrText>PAGE</w:instrText>
                      </w:r>
                      <w:r>
                        <w:fldChar w:fldCharType="separate"/>
                      </w:r>
                      <w:r>
                        <w:t xml:space="preserve">2</w:t>
                      </w:r>
                      <w:r>
                        <w:fldChar w:fldCharType="end"/>
                      </w:r>
                    </w:p>
                  </w:txbxContent>
                </wps:txbx>
                <wps:bodyPr/>
              </wps:wsp>
            </a:graphicData>
          </a:graphic>
        </wp:anchor>
      </w:drawing>
    </w:r>
  </w:p>
</w:ftr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"/>
      <w:lvlJc w:val="left"/>
      <w:pPr>
        <w:tabs>
          <w:tab w:pos="1060" w:val="num"/>
        </w:tabs>
        <w:ind w:left="108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780" w:val="num"/>
        </w:tabs>
        <w:ind w:left="1800" w:hanging="360"/>
      </w:pPr>
    </w:lvl>
    <w:lvl w:ilvl="2">
      <w:numFmt w:val="bullet"/>
      <w:suff w:val="tab"/>
      <w:lvlText w:val=""/>
      <w:lvlJc w:val="left"/>
      <w:pPr>
        <w:tabs>
          <w:tab w:pos="2500" w:val="num"/>
        </w:tabs>
        <w:ind w:left="252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3220" w:val="num"/>
        </w:tabs>
        <w:ind w:left="324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940" w:val="num"/>
        </w:tabs>
        <w:ind w:left="3960" w:hanging="360"/>
      </w:pPr>
    </w:lvl>
    <w:lvl w:ilvl="5">
      <w:numFmt w:val="bullet"/>
      <w:suff w:val="tab"/>
      <w:lvlText w:val=""/>
      <w:lvlJc w:val="left"/>
      <w:pPr>
        <w:tabs>
          <w:tab w:pos="4660" w:val="num"/>
        </w:tabs>
        <w:ind w:left="468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380" w:val="num"/>
        </w:tabs>
        <w:ind w:left="540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6100" w:val="num"/>
        </w:tabs>
        <w:ind w:left="6120" w:hanging="360"/>
      </w:pPr>
    </w:lvl>
    <w:lvl w:ilvl="8">
      <w:numFmt w:val="bullet"/>
      <w:suff w:val="tab"/>
      <w:lvlText w:val=""/>
      <w:lvlJc w:val="left"/>
      <w:pPr>
        <w:tabs>
          <w:tab w:pos="6820" w:val="num"/>
        </w:tabs>
        <w:ind w:left="6840" w:hanging="360"/>
      </w:pPr>
      <w:rPr>
        <w:rFonts w:ascii="Wingdings" w:hAnsi="Wingdings"/>
      </w:rPr>
    </w:lvl>
  </w:abstractNum>
  <w:abstractNum w:abstractNumId="2">
    <w:lvl w:ilvl="0">
      <w:numFmt w:val="bullet"/>
      <w:suff w:val="tab"/>
      <w:lvlText w:val=""/>
      <w:lvlJc w:val="left"/>
      <w:pPr>
        <w:tabs>
          <w:tab w:pos="700" w:val="num"/>
        </w:tabs>
        <w:ind w:left="72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420" w:val="num"/>
        </w:tabs>
        <w:ind w:left="1440" w:hanging="360"/>
      </w:pPr>
    </w:lvl>
    <w:lvl w:ilvl="2">
      <w:numFmt w:val="bullet"/>
      <w:suff w:val="tab"/>
      <w:lvlText w:val=""/>
      <w:lvlJc w:val="left"/>
      <w:pPr>
        <w:tabs>
          <w:tab w:pos="2140" w:val="num"/>
        </w:tabs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2860" w:val="num"/>
        </w:tabs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580" w:val="num"/>
        </w:tabs>
        <w:ind w:left="3600" w:hanging="360"/>
      </w:pPr>
    </w:lvl>
    <w:lvl w:ilvl="5">
      <w:numFmt w:val="bullet"/>
      <w:suff w:val="tab"/>
      <w:lvlText w:val=""/>
      <w:lvlJc w:val="left"/>
      <w:pPr>
        <w:tabs>
          <w:tab w:pos="4300" w:val="num"/>
        </w:tabs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020" w:val="num"/>
        </w:tabs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5740" w:val="num"/>
        </w:tabs>
        <w:ind w:left="5760" w:hanging="360"/>
      </w:pPr>
    </w:lvl>
    <w:lvl w:ilvl="8">
      <w:numFmt w:val="bullet"/>
      <w:suff w:val="tab"/>
      <w:lvlText w:val=""/>
      <w:lvlJc w:val="left"/>
      <w:pPr>
        <w:tabs>
          <w:tab w:pos="6460" w:val="num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3" w:type="paragraph">
    <w:name w:val="Normal"/>
    <w:next w:val="style3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6" w:type="paragraph">
    <w:name w:val="Standard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7" w:type="paragraph">
    <w:name w:val="Heading"/>
    <w:basedOn w:val="style6"/>
    <w:next w:val="style8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8" w:type="paragraph">
    <w:name w:val="Text_20_body"/>
    <w:basedOn w:val="style6"/>
    <w:pPr>
      <w:spacing w:line="288" w:after="140" w:before="0" w:lineRule="auto"/>
    </w:pPr>
  </w:style>
  <w:style w:styleId="style9" w:type="paragraph">
    <w:name w:val="List"/>
    <w:basedOn w:val="style8"/>
    <w:rPr>
      <w:rFonts w:cs="Droid Sans Devanagari"/>
    </w:rPr>
  </w:style>
  <w:style w:styleId="style10" w:type="paragraph">
    <w:name w:val="Caption"/>
    <w:basedOn w:val="style6"/>
    <w:pPr>
      <w:spacing w:after="120" w:before="120"/>
    </w:pPr>
    <w:rPr>
      <w:i/>
      <w:iCs/>
      <w:sz w:val="24"/>
      <w:szCs w:val="24"/>
      <w:rFonts w:cs="Droid Sans Devanagari"/>
    </w:rPr>
  </w:style>
  <w:style w:styleId="style11" w:type="paragraph">
    <w:name w:val="Index"/>
    <w:basedOn w:val="style6"/>
    <w:rPr>
      <w:rFonts w:cs="Droid Sans Devanagari"/>
    </w:rPr>
  </w:style>
  <w:style w:styleId="style12" w:type="paragraph">
    <w:name w:val="Heading_20_1"/>
    <w:basedOn w:val="style6"/>
    <w:next w:val="style6"/>
    <w:pPr>
      <w:keepNext w:val="true"/>
      <w:spacing w:after="60" w:before="240"/>
    </w:pPr>
    <w:rPr>
      <w:b/>
      <w:bCs/>
      <w:sz w:val="32"/>
      <w:szCs w:val="32"/>
      <w:rFonts w:ascii="Arial" w:hAnsi="Arial" w:cs="Arial"/>
    </w:rPr>
  </w:style>
  <w:style w:styleId="style13" w:type="paragraph">
    <w:name w:val="Heading_20_3"/>
    <w:basedOn w:val="style6"/>
    <w:next w:val="style6"/>
    <w:pPr>
      <w:keepNext w:val="true"/>
      <w:spacing w:after="60" w:before="240"/>
    </w:pPr>
    <w:rPr>
      <w:b/>
      <w:bCs/>
      <w:sz w:val="26"/>
      <w:szCs w:val="26"/>
      <w:rFonts w:ascii="Arial" w:hAnsi="Arial" w:cs="Arial"/>
    </w:rPr>
  </w:style>
  <w:style w:styleId="style14" w:type="paragraph">
    <w:name w:val="Обычный_20__28_веб_29_"/>
    <w:basedOn w:val="style6"/>
    <w:pPr>
      <w:spacing w:after="280" w:before="280"/>
    </w:pPr>
  </w:style>
  <w:style w:styleId="style15" w:type="paragraph">
    <w:name w:val="ConsPlusNormal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6" w:type="paragraph">
    <w:name w:val="ConsPlusNonformat"/>
    <w:basedOn w:val="style3"/>
    <w:pPr>
      <w:widowControl w:val="0"/>
    </w:pPr>
    <w:rPr>
      <w:sz w:val="20"/>
      <w:szCs w:val="20"/>
      <w:rFonts w:ascii="Courier New" w:hAnsi="Courier New" w:eastAsia="Times New Roman" w:cs="Courier New"/>
      <w:color w:val="auto"/>
      <w:lang w:val="ru-RU" w:bidi="ar-SA"/>
    </w:rPr>
  </w:style>
  <w:style w:styleId="style17" w:type="paragraph">
    <w:name w:val="Footnote"/>
    <w:basedOn w:val="style6"/>
    <w:rPr>
      <w:sz w:val="20"/>
      <w:szCs w:val="20"/>
    </w:rPr>
  </w:style>
  <w:style w:styleId="style18" w:type="paragraph">
    <w:name w:val="pagettl"/>
    <w:basedOn w:val="style6"/>
    <w:pPr>
      <w:spacing w:after="60" w:before="150"/>
    </w:pPr>
    <w:rPr>
      <w:b/>
      <w:bCs/>
      <w:sz w:val="18"/>
      <w:szCs w:val="18"/>
      <w:rFonts w:ascii="Verdana" w:hAnsi="Verdana" w:cs="Verdana"/>
      <w:color w:val="983f0c"/>
    </w:rPr>
  </w:style>
  <w:style w:styleId="style19" w:type="paragraph">
    <w:name w:val="Footer"/>
    <w:basedOn w:val="style6"/>
    <w:pPr>
      <w:tabs>
        <w:tab w:pos="4676" w:val="center"/>
        <w:tab w:pos="9354" w:val="right"/>
      </w:tabs>
    </w:pPr>
  </w:style>
  <w:style w:styleId="style20" w:type="paragraph">
    <w:name w:val="Знак_20_Знак_20_Знак_20_Знак"/>
    <w:basedOn w:val="style6"/>
    <w:rPr>
      <w:sz w:val="20"/>
      <w:szCs w:val="20"/>
      <w:rFonts w:ascii="Verdana" w:hAnsi="Verdana" w:cs="Verdana"/>
      <w:lang w:val="en-US"/>
    </w:rPr>
  </w:style>
  <w:style w:styleId="style21" w:type="paragraph">
    <w:name w:val="Table_20_Contents"/>
    <w:basedOn w:val="style6"/>
  </w:style>
  <w:style w:styleId="style22" w:type="paragraph">
    <w:name w:val="Table_20_Heading"/>
    <w:basedOn w:val="style21"/>
    <w:pPr>
      <w:jc w:val="center"/>
    </w:pPr>
    <w:rPr>
      <w:b/>
      <w:bCs/>
    </w:rPr>
  </w:style>
  <w:style w:styleId="style23" w:type="paragraph">
    <w:name w:val="Frame_20_contents"/>
    <w:basedOn w:val="style6"/>
  </w:style>
  <w:style w:styleId="style24" w:type="character">
    <w:name w:val="WW8Num1z0"/>
    <w:rPr>
      <w:rFonts w:ascii="Symbol" w:hAnsi="Symbol" w:cs="Symbol"/>
    </w:rPr>
  </w:style>
  <w:style w:styleId="style25" w:type="character">
    <w:name w:val="WW8Num1z1"/>
    <w:rPr>
      <w:rFonts w:ascii="Courier New" w:hAnsi="Courier New" w:cs="Courier New"/>
    </w:rPr>
  </w:style>
  <w:style w:styleId="style26" w:type="character">
    <w:name w:val="WW8Num1z2"/>
    <w:rPr>
      <w:rFonts w:ascii="Wingdings" w:hAnsi="Wingdings" w:cs="Wingdings"/>
    </w:rPr>
  </w:style>
  <w:style w:styleId="style27" w:type="character">
    <w:name w:val="WW8Num2z0"/>
    <w:rPr>
      <w:rFonts w:ascii="Symbol" w:hAnsi="Symbol" w:cs="Symbol"/>
    </w:rPr>
  </w:style>
  <w:style w:styleId="style28" w:type="character">
    <w:name w:val="WW8Num2z1"/>
    <w:rPr>
      <w:rFonts w:ascii="Courier New" w:hAnsi="Courier New" w:cs="Courier New"/>
    </w:rPr>
  </w:style>
  <w:style w:styleId="style29" w:type="character">
    <w:name w:val="WW8Num2z2"/>
    <w:rPr>
      <w:rFonts w:ascii="Wingdings" w:hAnsi="Wingdings" w:cs="Wingdings"/>
    </w:rPr>
  </w:style>
  <w:style w:styleId="style30" w:type="character">
    <w:name w:val="Основной_20_шрифт_20_абзаца"/>
  </w:style>
  <w:style w:styleId="style31" w:type="character">
    <w:name w:val="Internet_20_link"/>
    <w:basedOn w:val="style30"/>
    <w:rPr>
      <w:u w:val="single"/>
      <w:color w:val="0000ff"/>
    </w:rPr>
  </w:style>
  <w:style w:styleId="style32" w:type="character">
    <w:name w:val="docaccess_5f_title"/>
    <w:basedOn w:val="style30"/>
  </w:style>
  <w:style w:styleId="style33" w:type="character">
    <w:name w:val="Footnote_20_Symbol"/>
    <w:basedOn w:val="style30"/>
    <w:rPr>
      <w:vertAlign w:val="superscript"/>
    </w:rPr>
  </w:style>
  <w:style w:styleId="style34" w:type="character">
    <w:name w:val="Обычный_20__28_веб_29__20_Знак"/>
    <w:basedOn w:val="style30"/>
    <w:rPr>
      <w:sz w:val="24"/>
      <w:szCs w:val="24"/>
      <w:lang w:val="ru-RU" w:bidi="ar-SA"/>
    </w:rPr>
  </w:style>
  <w:style w:styleId="style35" w:type="character">
    <w:name w:val="Page_20_Number"/>
    <w:basedOn w:val="style30"/>
  </w:style>
  <w:style w:styleId="style36" w:type="character">
    <w:name w:val="Visited_20_Internet_20_Link"/>
    <w:basedOn w:val="style30"/>
    <w:rPr>
      <w:u w:val="single"/>
      <w:color w:val="800080"/>
    </w:rPr>
  </w:style>
  <w:style w:styleId="style37" w:type="character">
    <w:name w:val="ConsPlusNormal_20_Знак"/>
    <w:rPr>
      <w:sz w:val="24"/>
      <w:szCs w:val="24"/>
      <w:lang w:val="ru-RU" w:bidi="ar-SA"/>
    </w:rPr>
  </w:style>
  <w:style w:styleId="style38" w:type="character">
    <w:name w:val="docaccess_5f_title1"/>
    <w:basedOn w:val="style30"/>
    <w:rPr>
      <w:sz w:val="28"/>
      <w:szCs w:val="28"/>
      <w:rFonts w:ascii="Times New Roman" w:hAnsi="Times New Roman" w:cs="Times New Roman"/>
    </w:rPr>
  </w:style>
  <w:style w:styleId="style39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4984FEE92A5E2B123CE61D7ECAA28479AF6BA73AE2EACD7312370EB27BF33282A12FB6B9A10DB24DFFB26B68B390C570C6DA553EAB4EE808ODN4G" TargetMode="External"/><Relationship Id="rHpId2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3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4" Type="http://schemas.openxmlformats.org/officeDocument/2006/relationships/hyperlink" Target="consultantplus://offline/ref=C82B166E4D71485F5223AA082C1BDE6C7C4DFD1DC3B9F01CAF4F55B7983C176B40F3B3440A607D5BE83361FDFD489CDA443903248778107DCFT9G" TargetMode="External"/><Relationship Id="rHpId5" Type="http://schemas.openxmlformats.org/officeDocument/2006/relationships/hyperlink" Target="consultantplus://offline/ref=0B1CD921EABF88409445B914F57FB6FDB6AFFCCD43CC0B42C2F2D07E2B5BD821141F617B107664D756208770T2K" TargetMode="External"/><Relationship Id="rHpId6" Type="http://schemas.openxmlformats.org/officeDocument/2006/relationships/hyperlink" Target="consultantplus://offline/ref=0B1CD921EABF88409445B914F57FB6FDB6AFFCCD43CC0B42C2F2D07E2B5BD821141F617B107664D756208770T2K" TargetMode="External"/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