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РОССИЙСКАЯ ФЕДЕРАЦИЯ</w:t>
      </w:r>
    </w:p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КАЛУЖСКАЯ ОБЛАСТЬ</w:t>
      </w:r>
    </w:p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(48457) 2-16-66</w:t>
            </w:r>
          </w:p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sz w:val="24"/>
                <w:szCs w:val="24"/>
                <w:shd w:fill="FFFF00" w:val="clear"/>
              </w:rPr>
            </w:pPr>
            <w:r>
              <w:rPr>
                <w:sz w:val="24"/>
                <w:szCs w:val="24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17.03.2020 № 5</w:t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b/>
          <w:spacing w:val="40"/>
          <w:sz w:val="24"/>
          <w:szCs w:val="24"/>
        </w:rPr>
      </w:pPr>
      <w:r>
        <w:rPr>
          <w:b/>
          <w:spacing w:val="40"/>
          <w:sz w:val="24"/>
          <w:szCs w:val="24"/>
        </w:rPr>
        <w:t xml:space="preserve">муниципального района «Куйбышевский район»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spacing w:val="52"/>
          <w:sz w:val="24"/>
          <w:szCs w:val="24"/>
        </w:rPr>
      </w:pPr>
      <w:r>
        <w:rPr>
          <w:b/>
          <w:spacing w:val="52"/>
          <w:sz w:val="24"/>
          <w:szCs w:val="24"/>
        </w:rPr>
        <w:t>ЗАКЛЮЧЕНИЕ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отчет об исполнении бюджета 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>
        <w:rPr>
          <w:b/>
          <w:sz w:val="24"/>
          <w:szCs w:val="24"/>
        </w:rPr>
        <w:t>образования сельского поселения « Деревня Высокое»</w:t>
      </w:r>
    </w:p>
    <w:p>
      <w:pPr>
        <w:pStyle w:val="Norma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20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год.</w:t>
      </w:r>
    </w:p>
    <w:p>
      <w:pPr>
        <w:pStyle w:val="Normal"/>
        <w:ind w:left="0" w:right="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Заключение на  </w:t>
      </w:r>
      <w:r>
        <w:rPr>
          <w:bCs/>
          <w:sz w:val="24"/>
          <w:szCs w:val="24"/>
        </w:rPr>
        <w:t xml:space="preserve">годовой </w:t>
      </w:r>
      <w:r>
        <w:rPr>
          <w:bCs/>
          <w:sz w:val="24"/>
          <w:szCs w:val="24"/>
        </w:rPr>
        <w:t xml:space="preserve">отчет об исполнении бюджета муниципального </w:t>
      </w:r>
      <w:r>
        <w:rPr>
          <w:bCs/>
          <w:sz w:val="24"/>
          <w:szCs w:val="24"/>
        </w:rPr>
        <w:t xml:space="preserve">образования сельского поселения « 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за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2"/>
            <w:bCs/>
            <w:color w:val="000000"/>
            <w:sz w:val="24"/>
            <w:szCs w:val="24"/>
            <w:u w:val="none"/>
          </w:rPr>
          <w:t>ст. 157, 264.4</w:t>
        </w:r>
      </w:hyperlink>
      <w:r>
        <w:rPr>
          <w:bCs/>
          <w:sz w:val="24"/>
          <w:szCs w:val="24"/>
        </w:rPr>
        <w:t xml:space="preserve"> Бюджетного кодекса Российской Федерации</w:t>
      </w:r>
      <w:r>
        <w:rPr>
          <w:rStyle w:val="Style13"/>
          <w:rStyle w:val="Style14"/>
          <w:bCs/>
          <w:sz w:val="24"/>
          <w:szCs w:val="24"/>
        </w:rPr>
        <w:footnoteReference w:id="2"/>
      </w:r>
      <w:r>
        <w:rPr>
          <w:bCs/>
          <w:sz w:val="24"/>
          <w:szCs w:val="24"/>
        </w:rPr>
        <w:t xml:space="preserve">, Положения о бюджетном процессе 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>
        <w:rPr>
          <w:rStyle w:val="Style13"/>
          <w:rStyle w:val="Style14"/>
          <w:sz w:val="24"/>
          <w:szCs w:val="24"/>
        </w:rPr>
        <w:footnoteReference w:id="3"/>
      </w:r>
      <w:r>
        <w:rPr>
          <w:sz w:val="24"/>
          <w:szCs w:val="24"/>
        </w:rPr>
        <w:t xml:space="preserve">  , п. 1.3 ч.1 ст.8 Положения о Контрольно - счетном органе муниципального района «</w:t>
      </w:r>
      <w:r>
        <w:rPr>
          <w:bCs/>
          <w:sz w:val="24"/>
          <w:szCs w:val="24"/>
        </w:rPr>
        <w:t>Куйбышевский</w:t>
      </w:r>
      <w:r>
        <w:rPr>
          <w:sz w:val="24"/>
          <w:szCs w:val="24"/>
        </w:rPr>
        <w:t xml:space="preserve"> район»</w:t>
      </w:r>
      <w:r>
        <w:rPr>
          <w:rStyle w:val="Style13"/>
          <w:rStyle w:val="Style14"/>
          <w:sz w:val="24"/>
          <w:szCs w:val="24"/>
        </w:rPr>
        <w:footnoteReference w:id="4"/>
      </w:r>
      <w:r>
        <w:rPr>
          <w:sz w:val="24"/>
          <w:szCs w:val="24"/>
        </w:rPr>
        <w:t>, Планом работы КСО МР «</w:t>
      </w:r>
      <w:r>
        <w:rPr>
          <w:bCs/>
          <w:sz w:val="24"/>
          <w:szCs w:val="24"/>
        </w:rPr>
        <w:t>Куйбышевский</w:t>
      </w:r>
      <w:r>
        <w:rPr>
          <w:sz w:val="24"/>
          <w:szCs w:val="24"/>
        </w:rPr>
        <w:t xml:space="preserve"> район» на 20</w:t>
      </w:r>
      <w:r>
        <w:rPr>
          <w:sz w:val="24"/>
          <w:szCs w:val="24"/>
        </w:rPr>
        <w:t>2</w:t>
      </w:r>
      <w:r>
        <w:rPr>
          <w:sz w:val="24"/>
          <w:szCs w:val="24"/>
        </w:rPr>
        <w:t>1</w:t>
      </w:r>
      <w:r>
        <w:rPr>
          <w:sz w:val="24"/>
          <w:szCs w:val="24"/>
        </w:rPr>
        <w:t>год.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Целями проведения внешней проверки </w:t>
      </w:r>
      <w:r>
        <w:rPr>
          <w:sz w:val="24"/>
          <w:szCs w:val="24"/>
        </w:rPr>
        <w:t>являются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определение </w:t>
      </w:r>
      <w:r>
        <w:rPr>
          <w:sz w:val="24"/>
          <w:szCs w:val="24"/>
        </w:rPr>
        <w:t xml:space="preserve">достоверности </w:t>
      </w:r>
      <w:r>
        <w:rPr>
          <w:sz w:val="24"/>
          <w:szCs w:val="24"/>
        </w:rPr>
        <w:t>показателей годовой бюджетной отчетности и соответствие ведения бюджетного учёта инструкции о порядке составления и представления годовой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квартальной и месячной бюджетной отчетности об исполнении бюджетов бюджетной системы РФ, утвержденной приказом министерства  финансов РФ от 28.12.2010 № 191н (далее - Инструкция № 191н).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Предметом </w:t>
      </w:r>
      <w:r>
        <w:rPr>
          <w:sz w:val="24"/>
          <w:szCs w:val="24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годовая бюджетная отчетность( перечень установлен ст 264.1 Бюджетного кодекса РФ);</w:t>
      </w:r>
    </w:p>
    <w:p>
      <w:pPr>
        <w:pStyle w:val="ConsPlus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bCs/>
          <w:sz w:val="24"/>
          <w:szCs w:val="24"/>
        </w:rPr>
        <w:t xml:space="preserve">годовой </w:t>
      </w:r>
      <w:r>
        <w:rPr>
          <w:bCs/>
          <w:sz w:val="24"/>
          <w:szCs w:val="24"/>
        </w:rPr>
        <w:t xml:space="preserve">отчет об исполнении бюджета муниципального </w:t>
      </w:r>
      <w:r>
        <w:rPr>
          <w:bCs/>
          <w:sz w:val="24"/>
          <w:szCs w:val="24"/>
        </w:rPr>
        <w:t xml:space="preserve">образования сельского поселения « 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за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год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Объектом внешней проверки</w:t>
      </w:r>
      <w:r>
        <w:rPr>
          <w:sz w:val="24"/>
          <w:szCs w:val="24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>администрация 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</w:p>
    <w:p>
      <w:pPr>
        <w:pStyle w:val="Normal"/>
        <w:tabs>
          <w:tab w:val="left" w:pos="3813" w:leader="none"/>
        </w:tabs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проверка </w:t>
      </w:r>
      <w:r>
        <w:rPr>
          <w:sz w:val="24"/>
          <w:szCs w:val="24"/>
        </w:rPr>
        <w:t>годового</w:t>
      </w:r>
      <w:r>
        <w:rPr>
          <w:sz w:val="24"/>
          <w:szCs w:val="24"/>
        </w:rPr>
        <w:t xml:space="preserve">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Правовую основу</w:t>
      </w:r>
      <w:r>
        <w:rPr>
          <w:sz w:val="24"/>
          <w:szCs w:val="24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Положение о бюджетном процессе 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>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Решение </w:t>
      </w:r>
      <w:r>
        <w:rPr>
          <w:sz w:val="24"/>
          <w:szCs w:val="24"/>
        </w:rPr>
        <w:t xml:space="preserve">Сельской Думы 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 xml:space="preserve">» </w:t>
      </w:r>
      <w:r>
        <w:rPr>
          <w:sz w:val="24"/>
          <w:szCs w:val="24"/>
        </w:rPr>
        <w:t xml:space="preserve">«О бюджете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1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годов»;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требования к порядку составления бюджетной отчетности (установленные Инструкцией № 191н</w:t>
      </w:r>
      <w:r>
        <w:rPr>
          <w:rStyle w:val="Style13"/>
          <w:rStyle w:val="Style14"/>
          <w:sz w:val="24"/>
          <w:szCs w:val="24"/>
        </w:rPr>
        <w:footnoteReference w:id="5"/>
      </w:r>
      <w:r>
        <w:rPr>
          <w:sz w:val="24"/>
          <w:szCs w:val="24"/>
        </w:rPr>
        <w:t xml:space="preserve">) </w:t>
      </w:r>
      <w:r>
        <w:rPr>
          <w:rStyle w:val="Docaccesstitle"/>
          <w:sz w:val="24"/>
          <w:szCs w:val="24"/>
        </w:rPr>
        <w:t>(далее – Инструкция №191н)</w:t>
      </w:r>
      <w:r>
        <w:rPr>
          <w:sz w:val="24"/>
          <w:szCs w:val="24"/>
        </w:rPr>
        <w:t xml:space="preserve">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Задачи </w:t>
      </w:r>
      <w:r>
        <w:rPr>
          <w:sz w:val="24"/>
          <w:szCs w:val="24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проверка соответствия нормативно-правовой основы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 xml:space="preserve">МО СП « 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>Деревня Высокое</w:t>
      </w:r>
      <w:r>
        <w:rPr>
          <w:bCs/>
          <w:sz w:val="24"/>
          <w:szCs w:val="24"/>
        </w:rPr>
        <w:t xml:space="preserve">» </w:t>
      </w:r>
      <w:r>
        <w:rPr>
          <w:sz w:val="24"/>
          <w:szCs w:val="24"/>
        </w:rPr>
        <w:t xml:space="preserve"> за отчетный </w:t>
      </w:r>
      <w:r>
        <w:rPr>
          <w:sz w:val="24"/>
          <w:szCs w:val="24"/>
        </w:rPr>
        <w:t>финансовый год</w:t>
      </w:r>
      <w:r>
        <w:rPr>
          <w:sz w:val="24"/>
          <w:szCs w:val="24"/>
        </w:rPr>
        <w:t xml:space="preserve">  по целевым статьям (государственным программам и непрограммным направлениям деятельности) расходов бюджетов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год.</w:t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Согласно требованиям пункта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3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статьи 264.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1для проверки представлены следующая бюджетная отчетность: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за 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год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(форма по ОКУД 0503317)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-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(форма  по ОКУД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баланс исполнения бюджета(форма  по ОКУД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финансовых результатах деятельности(форма  по ОКУД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движении денежных средств (форма  по ОКУД 0503123);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пояснительная записка (форма  по ОКУД 0503160)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В 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соответствии с пунктом 11.2 Инструкции о порядке составления и представления годовой,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квартальной и месячной отчетности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об исполнении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бюджетов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бюджет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ной системы Российской Федерации, утвержденной приказом министерства финансов РФ от 28.12.2010 № 191н(далее -Инструкция № 191н)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годовая бюджетная отчетность финансового органа,как органа, осуществляющего исполнение бюджета , представлена в составе: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Справка по заключению счетов бюджетного учета отчетного финансового года( ф. 0503110):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финансовых результатах деятельности (ф.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движении денежных средств (ф. 0503123) 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об исполнении бюджета (ф.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бюджетных обязательствах ( ф. 0503128);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Баланс исполнения бюджета (ф.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Пояснительная записка ( ф. 0503160);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о движении нефинансовых активов (ф. 0503168);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по дебиторской и кредиторской задолженности (ф.0503169);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Источники финансирования дефицита бюджета (приложение №5)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роект Решения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год»;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№ 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год»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>риложение  № 3 «</w:t>
      </w:r>
      <w:r>
        <w:rPr>
          <w:sz w:val="24"/>
          <w:szCs w:val="24"/>
        </w:rPr>
        <w:t>Ведомственная структура расходов муниципального</w:t>
      </w:r>
      <w:r>
        <w:rPr>
          <w:sz w:val="24"/>
          <w:szCs w:val="24"/>
        </w:rPr>
        <w:t xml:space="preserve">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г.»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Приложение № 5 «Источники финансирования дефицита бюджета по администраторам кодов классификации источников финансирования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 за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2020 год»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cs="Times New Roman" w:ascii="Times New Roman" w:hAnsi="Times New Roman"/>
          <w:b/>
          <w:sz w:val="24"/>
          <w:szCs w:val="24"/>
        </w:rPr>
        <w:t>МО СП «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/>
          <w:bCs/>
          <w:sz w:val="24"/>
          <w:szCs w:val="24"/>
        </w:rPr>
        <w:t>»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», </w:t>
      </w:r>
      <w:r>
        <w:rPr>
          <w:rFonts w:cs="Times New Roman" w:ascii="Times New Roman" w:hAnsi="Times New Roman"/>
          <w:sz w:val="24"/>
          <w:szCs w:val="24"/>
        </w:rPr>
        <w:t xml:space="preserve">на момент Проверки нарушений не установлено.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Соответствие отчета требованиям нормативных правовых актов по составу, содержанию и срокам представления.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>15</w:t>
      </w:r>
      <w:r>
        <w:rPr>
          <w:rFonts w:cs="Times New Roman" w:ascii="Times New Roman" w:hAnsi="Times New Roman"/>
          <w:sz w:val="24"/>
          <w:szCs w:val="24"/>
        </w:rPr>
        <w:t xml:space="preserve"> марта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24"/>
          <w:szCs w:val="24"/>
        </w:rPr>
        <w:t>Положение</w:t>
      </w:r>
      <w:r>
        <w:rPr>
          <w:rFonts w:cs="Times New Roman" w:ascii="Times New Roman" w:hAnsi="Times New Roman"/>
          <w:bCs/>
          <w:sz w:val="24"/>
          <w:szCs w:val="24"/>
        </w:rPr>
        <w:t>м</w:t>
      </w:r>
      <w:r>
        <w:rPr>
          <w:rFonts w:cs="Times New Roman" w:ascii="Times New Roman" w:hAnsi="Times New Roman"/>
          <w:bCs/>
          <w:sz w:val="24"/>
          <w:szCs w:val="24"/>
        </w:rPr>
        <w:t xml:space="preserve"> о бюджетном процессе в М</w:t>
      </w:r>
      <w:r>
        <w:rPr>
          <w:rFonts w:cs="Times New Roman" w:ascii="Times New Roman" w:hAnsi="Times New Roman"/>
          <w:bCs/>
          <w:sz w:val="24"/>
          <w:szCs w:val="24"/>
        </w:rPr>
        <w:t>О СП «</w:t>
      </w:r>
      <w:r>
        <w:rPr>
          <w:rFonts w:cs="Times New Roman" w:ascii="Times New Roman" w:hAnsi="Times New Roman"/>
          <w:bCs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Cs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(утв. решением </w:t>
      </w:r>
      <w:r>
        <w:rPr>
          <w:rFonts w:cs="Times New Roman" w:ascii="Times New Roman" w:hAnsi="Times New Roman"/>
          <w:sz w:val="24"/>
          <w:szCs w:val="24"/>
        </w:rPr>
        <w:t>Сельской думы</w:t>
      </w:r>
      <w:r>
        <w:rPr>
          <w:rFonts w:cs="Times New Roman" w:ascii="Times New Roman" w:hAnsi="Times New Roman"/>
          <w:sz w:val="24"/>
          <w:szCs w:val="24"/>
        </w:rPr>
        <w:t xml:space="preserve"> от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.12.2005</w:t>
      </w:r>
      <w:r>
        <w:rPr>
          <w:rFonts w:cs="Times New Roman" w:ascii="Times New Roman" w:hAnsi="Times New Roman"/>
          <w:sz w:val="24"/>
          <w:szCs w:val="24"/>
        </w:rPr>
        <w:t>г. № </w:t>
      </w:r>
      <w:r>
        <w:rPr>
          <w:rFonts w:cs="Times New Roman" w:ascii="Times New Roman" w:hAnsi="Times New Roman"/>
          <w:sz w:val="24"/>
          <w:szCs w:val="24"/>
        </w:rPr>
        <w:t>18</w:t>
      </w:r>
      <w:r>
        <w:rPr>
          <w:rFonts w:cs="Times New Roman" w:ascii="Times New Roman" w:hAnsi="Times New Roman"/>
          <w:sz w:val="24"/>
          <w:szCs w:val="24"/>
        </w:rPr>
        <w:t>с изм. и доп.)(</w:t>
      </w:r>
      <w:r>
        <w:rPr>
          <w:rFonts w:cs="Times New Roman" w:ascii="Times New Roman" w:hAnsi="Times New Roman"/>
          <w:sz w:val="24"/>
          <w:szCs w:val="24"/>
        </w:rPr>
        <w:t>не позднее 1 апреля текущего финансового года).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редставленные документы соответствуют требованиям приказа Минфина РФ от 6 декабря 2010года № 162н « Об утверждении плана счетов бюджетного учета и инструкции по его применению».</w:t>
      </w:r>
    </w:p>
    <w:p>
      <w:pPr>
        <w:pStyle w:val="ConsPlusNormal"/>
        <w:ind w:left="0" w:right="0" w:firstLine="540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  <w:t>Проектом решения</w:t>
      </w:r>
      <w:r>
        <w:rPr>
          <w:bCs/>
          <w:sz w:val="24"/>
          <w:szCs w:val="24"/>
        </w:rPr>
        <w:t xml:space="preserve"> об утверждении </w:t>
      </w:r>
      <w:r>
        <w:rPr>
          <w:bCs/>
          <w:sz w:val="24"/>
          <w:szCs w:val="24"/>
        </w:rPr>
        <w:t xml:space="preserve">годового </w:t>
      </w:r>
      <w:r>
        <w:rPr>
          <w:bCs/>
          <w:sz w:val="24"/>
          <w:szCs w:val="24"/>
        </w:rPr>
        <w:t xml:space="preserve">отчета об исполнении бюджета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Деревня Высокое </w:t>
      </w:r>
      <w:r>
        <w:rPr>
          <w:bCs/>
          <w:sz w:val="24"/>
          <w:szCs w:val="24"/>
        </w:rPr>
        <w:t>за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(с изменениями и дополнениями), </w:t>
      </w:r>
      <w:r>
        <w:rPr>
          <w:bCs/>
          <w:sz w:val="24"/>
          <w:szCs w:val="24"/>
        </w:rPr>
        <w:t xml:space="preserve">предлагается </w:t>
      </w:r>
      <w:r>
        <w:rPr>
          <w:bCs/>
          <w:sz w:val="24"/>
          <w:szCs w:val="24"/>
        </w:rPr>
        <w:t>утвер</w:t>
      </w:r>
      <w:r>
        <w:rPr>
          <w:bCs/>
          <w:sz w:val="24"/>
          <w:szCs w:val="24"/>
        </w:rPr>
        <w:t>дить</w:t>
      </w:r>
      <w:r>
        <w:rPr>
          <w:bCs/>
          <w:sz w:val="24"/>
          <w:szCs w:val="24"/>
        </w:rPr>
        <w:t xml:space="preserve"> отчет об исполнении бюджета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за </w:t>
      </w:r>
      <w:r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 xml:space="preserve">20 </w:t>
      </w:r>
      <w:r>
        <w:rPr>
          <w:bCs/>
          <w:sz w:val="24"/>
          <w:szCs w:val="24"/>
        </w:rPr>
        <w:t xml:space="preserve">год </w:t>
      </w:r>
      <w:r>
        <w:rPr>
          <w:b/>
          <w:bCs/>
          <w:sz w:val="24"/>
          <w:szCs w:val="24"/>
        </w:rPr>
        <w:t>по доходам</w:t>
      </w:r>
      <w:r>
        <w:rPr>
          <w:bCs/>
          <w:sz w:val="24"/>
          <w:szCs w:val="24"/>
        </w:rPr>
        <w:t xml:space="preserve"> в сумме –</w:t>
      </w:r>
      <w:r>
        <w:rPr>
          <w:bCs/>
          <w:sz w:val="24"/>
          <w:szCs w:val="24"/>
        </w:rPr>
        <w:t>5598442</w:t>
      </w:r>
      <w:r>
        <w:rPr>
          <w:bCs/>
          <w:sz w:val="24"/>
          <w:szCs w:val="24"/>
        </w:rPr>
        <w:t>руб.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тождественны показателям, отраженным в Отчете 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расходам</w:t>
      </w:r>
      <w:r>
        <w:rPr>
          <w:bCs/>
          <w:sz w:val="24"/>
          <w:szCs w:val="24"/>
        </w:rPr>
        <w:t xml:space="preserve"> в сумме – </w:t>
      </w:r>
      <w:r>
        <w:rPr>
          <w:bCs/>
          <w:sz w:val="24"/>
          <w:szCs w:val="24"/>
        </w:rPr>
        <w:t>5555131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руб.  </w:t>
      </w:r>
      <w:r>
        <w:rPr>
          <w:bCs/>
          <w:sz w:val="24"/>
          <w:szCs w:val="24"/>
        </w:rPr>
        <w:t xml:space="preserve">соответствует </w:t>
      </w:r>
      <w:r>
        <w:rPr>
          <w:rFonts w:cs="Times New Roman" w:ascii="Times New Roman" w:hAnsi="Times New Roman"/>
          <w:b w:val="false"/>
          <w:bCs/>
          <w:sz w:val="24"/>
          <w:szCs w:val="24"/>
        </w:rPr>
        <w:t xml:space="preserve"> показателям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г.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;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с профицитом - </w:t>
      </w:r>
      <w:r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3311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рублей.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4"/>
          <w:szCs w:val="24"/>
        </w:rPr>
        <w:t xml:space="preserve">Инструкции №191н, </w:t>
      </w:r>
      <w:r>
        <w:rPr>
          <w:rFonts w:ascii="Nimbus Roman No9 L" w:hAnsi="Nimbus Roman No9 L"/>
          <w:sz w:val="24"/>
          <w:szCs w:val="24"/>
        </w:rPr>
        <w:t xml:space="preserve">в графе 4 «Утвержденные бюджетные назначения» и соответственно в графе 5 «Исполнено» Отчета об исполнении бюджета  отражены: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>
        <w:rPr>
          <w:rFonts w:ascii="Nimbus Roman No9 L" w:hAnsi="Nimbus Roman No9 L"/>
          <w:sz w:val="24"/>
          <w:szCs w:val="24"/>
        </w:rPr>
        <w:t>5496786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 xml:space="preserve">рублей, исполнено- </w:t>
      </w:r>
      <w:r>
        <w:rPr>
          <w:rFonts w:ascii="Nimbus Roman No9 L" w:hAnsi="Nimbus Roman No9 L"/>
          <w:bCs/>
          <w:sz w:val="24"/>
          <w:szCs w:val="24"/>
        </w:rPr>
        <w:t>5</w:t>
      </w:r>
      <w:r>
        <w:rPr>
          <w:rFonts w:ascii="Nimbus Roman No9 L" w:hAnsi="Nimbus Roman No9 L"/>
          <w:bCs/>
          <w:sz w:val="24"/>
          <w:szCs w:val="24"/>
        </w:rPr>
        <w:t>598442</w:t>
      </w:r>
      <w:r>
        <w:rPr>
          <w:rFonts w:ascii="Nimbus Roman No9 L" w:hAnsi="Nimbus Roman No9 L"/>
          <w:sz w:val="24"/>
          <w:szCs w:val="24"/>
        </w:rPr>
        <w:t>рублей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Cs/>
          <w:sz w:val="24"/>
          <w:szCs w:val="24"/>
        </w:rPr>
      </w:pPr>
      <w:r>
        <w:rPr>
          <w:sz w:val="24"/>
          <w:szCs w:val="24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</w:t>
      </w:r>
      <w:r>
        <w:rPr>
          <w:sz w:val="24"/>
          <w:szCs w:val="24"/>
        </w:rPr>
        <w:t>ус</w:t>
      </w:r>
      <w:r>
        <w:rPr>
          <w:rFonts w:ascii="Nimbus Roman No9 L" w:hAnsi="Nimbus Roman No9 L"/>
          <w:bCs/>
          <w:sz w:val="24"/>
          <w:szCs w:val="24"/>
        </w:rPr>
        <w:t xml:space="preserve">тановленном порядке на отчетную дату – </w:t>
      </w:r>
      <w:r>
        <w:rPr>
          <w:rFonts w:ascii="Nimbus Roman No9 L" w:hAnsi="Nimbus Roman No9 L"/>
          <w:bCs/>
          <w:sz w:val="24"/>
          <w:szCs w:val="24"/>
        </w:rPr>
        <w:t>5937344</w:t>
      </w:r>
      <w:r>
        <w:rPr>
          <w:rFonts w:ascii="Nimbus Roman No9 L" w:hAnsi="Nimbus Roman No9 L"/>
          <w:bCs/>
          <w:sz w:val="24"/>
          <w:szCs w:val="24"/>
        </w:rPr>
        <w:t xml:space="preserve">руб. , исполнено – </w:t>
      </w:r>
      <w:r>
        <w:rPr>
          <w:rFonts w:ascii="Nimbus Roman No9 L" w:hAnsi="Nimbus Roman No9 L"/>
          <w:bCs/>
          <w:sz w:val="24"/>
          <w:szCs w:val="24"/>
        </w:rPr>
        <w:t>5555131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bCs/>
          <w:sz w:val="24"/>
          <w:szCs w:val="24"/>
        </w:rPr>
        <w:t>руб.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Cs/>
          <w:sz w:val="24"/>
          <w:szCs w:val="24"/>
        </w:rPr>
      </w:pPr>
      <w:r>
        <w:rPr>
          <w:rFonts w:ascii="Nimbus Roman No9 L" w:hAnsi="Nimbus Roman No9 L"/>
          <w:bCs/>
          <w:sz w:val="24"/>
          <w:szCs w:val="24"/>
        </w:rPr>
        <w:t>- по разделу «И</w:t>
      </w:r>
      <w:r>
        <w:rPr>
          <w:rFonts w:ascii="Nimbus Roman No9 L" w:hAnsi="Nimbus Roman No9 L"/>
          <w:bCs/>
          <w:sz w:val="24"/>
          <w:szCs w:val="24"/>
        </w:rPr>
        <w:t>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bCs/>
          <w:sz w:val="24"/>
          <w:szCs w:val="24"/>
        </w:rPr>
        <w:t>440557</w:t>
      </w:r>
      <w:r>
        <w:rPr>
          <w:rFonts w:ascii="Nimbus Roman No9 L" w:hAnsi="Nimbus Roman No9 L"/>
          <w:bCs/>
          <w:sz w:val="24"/>
          <w:szCs w:val="24"/>
        </w:rPr>
        <w:t xml:space="preserve"> руб., исполнено – -</w:t>
      </w:r>
      <w:r>
        <w:rPr>
          <w:rFonts w:ascii="Nimbus Roman No9 L" w:hAnsi="Nimbus Roman No9 L"/>
          <w:bCs/>
          <w:sz w:val="24"/>
          <w:szCs w:val="24"/>
        </w:rPr>
        <w:t>4</w:t>
      </w:r>
      <w:r>
        <w:rPr>
          <w:rFonts w:ascii="Nimbus Roman No9 L" w:hAnsi="Nimbus Roman No9 L"/>
          <w:bCs/>
          <w:sz w:val="24"/>
          <w:szCs w:val="24"/>
        </w:rPr>
        <w:t>3311</w:t>
      </w:r>
      <w:r>
        <w:rPr>
          <w:rFonts w:ascii="Nimbus Roman No9 L" w:hAnsi="Nimbus Roman No9 L"/>
          <w:bCs/>
          <w:sz w:val="24"/>
          <w:szCs w:val="24"/>
        </w:rPr>
        <w:t xml:space="preserve">руб.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587"/>
        <w:gridCol w:w="1916"/>
        <w:gridCol w:w="1809"/>
        <w:gridCol w:w="811"/>
        <w:gridCol w:w="1433"/>
      </w:tblGrid>
      <w:tr>
        <w:trPr>
          <w:trHeight w:val="23" w:hRule="atLeast"/>
          <w:cantSplit w:val="false"/>
        </w:trPr>
        <w:tc>
          <w:tcPr>
            <w:tcW w:w="5890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св</w:t>
            </w: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едения об исполнении бюджета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44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Код строки 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Исполнено, руб.</w:t>
            </w:r>
          </w:p>
        </w:tc>
        <w:tc>
          <w:tcPr>
            <w:tcW w:w="2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6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0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% </w:t>
            </w:r>
          </w:p>
        </w:tc>
        <w:tc>
          <w:tcPr>
            <w:tcW w:w="143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 исп., руб.</w:t>
            </w:r>
          </w:p>
        </w:tc>
      </w:tr>
      <w:tr>
        <w:trPr>
          <w:trHeight w:val="411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1. Доходы бюджета, всего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010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5496786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598442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</w:t>
            </w:r>
            <w:r>
              <w:rPr>
                <w:rFonts w:ascii="Nimbus Roman No9 L" w:hAnsi="Nimbus Roman No9 L"/>
                <w:sz w:val="24"/>
                <w:szCs w:val="24"/>
              </w:rPr>
              <w:t>1,8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101656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2. Расходы бюджета, всего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5937344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5555131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</w:t>
            </w: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382213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3. Источники финансирования дефицита бюджета, всего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440557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autoSpaceDE w:val="false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-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4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3311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-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-</w:t>
            </w:r>
          </w:p>
        </w:tc>
      </w:tr>
    </w:tbl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 xml:space="preserve">сформирован с соблюдением требований пунктов 94-96 Инструкции №191н.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Показатели Приложения: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-- №1 («Исполнение доходов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 xml:space="preserve">год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-- №</w:t>
      </w:r>
      <w:r>
        <w:rPr>
          <w:rFonts w:ascii="Nimbus Roman No9 L" w:hAnsi="Nimbus Roman No9 L"/>
          <w:sz w:val="24"/>
          <w:szCs w:val="24"/>
        </w:rPr>
        <w:t>2</w:t>
      </w:r>
      <w:r>
        <w:rPr>
          <w:rFonts w:ascii="Nimbus Roman No9 L" w:hAnsi="Nimbus Roman No9 L"/>
          <w:sz w:val="24"/>
          <w:szCs w:val="24"/>
        </w:rPr>
        <w:t xml:space="preserve"> («Исполнение доходов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>год по кодам классификации доходов бюджетов»);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№</w:t>
      </w:r>
      <w:r>
        <w:rPr>
          <w:rFonts w:ascii="Nimbus Roman No9 L" w:hAnsi="Nimbus Roman No9 L"/>
          <w:sz w:val="24"/>
          <w:szCs w:val="24"/>
        </w:rPr>
        <w:t>3</w:t>
      </w:r>
      <w:r>
        <w:rPr>
          <w:rFonts w:ascii="Nimbus Roman No9 L" w:hAnsi="Nimbus Roman No9 L"/>
          <w:sz w:val="24"/>
          <w:szCs w:val="24"/>
        </w:rPr>
        <w:t xml:space="preserve"> («Исполнение расходов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>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 по ведомственной структуре»);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№</w:t>
      </w:r>
      <w:r>
        <w:rPr>
          <w:rFonts w:ascii="Nimbus Roman No9 L" w:hAnsi="Nimbus Roman No9 L"/>
          <w:sz w:val="24"/>
          <w:szCs w:val="24"/>
        </w:rPr>
        <w:t>4</w:t>
      </w:r>
      <w:r>
        <w:rPr>
          <w:rFonts w:ascii="Nimbus Roman No9 L" w:hAnsi="Nimbus Roman No9 L"/>
          <w:sz w:val="24"/>
          <w:szCs w:val="24"/>
        </w:rPr>
        <w:t xml:space="preserve"> («Исполнение расходов бюджета 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  <w:sz w:val="24"/>
          <w:szCs w:val="24"/>
        </w:rPr>
        <w:t>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>год по кодам классификации источников финансировани</w:t>
      </w:r>
      <w:r>
        <w:rPr>
          <w:rFonts w:ascii="Nimbus Roman No9 L" w:hAnsi="Nimbus Roman No9 L"/>
          <w:sz w:val="24"/>
          <w:szCs w:val="24"/>
        </w:rPr>
        <w:t>я</w:t>
      </w:r>
      <w:r>
        <w:rPr>
          <w:rFonts w:ascii="Nimbus Roman No9 L" w:hAnsi="Nimbus Roman No9 L"/>
          <w:sz w:val="24"/>
          <w:szCs w:val="24"/>
        </w:rPr>
        <w:t xml:space="preserve"> дефицитов  бюджетов»)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Проверка соответствия данных годового отчета об исполнении бюджета МО СП «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Деревня Высокое»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за 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год показателям, представленным в бюджетной отчетности, расхождений не выявила.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sz w:val="24"/>
          <w:szCs w:val="24"/>
        </w:rPr>
        <w:t>«</w:t>
      </w:r>
      <w:r>
        <w:rPr>
          <w:rFonts w:cs="Times New Roman"/>
          <w:b/>
          <w:bCs/>
          <w:color w:val="000000"/>
          <w:sz w:val="24"/>
          <w:szCs w:val="24"/>
        </w:rPr>
        <w:t>Деревня Высокое</w:t>
      </w:r>
      <w:r>
        <w:rPr>
          <w:rFonts w:ascii="Nimbus Roman No9 L" w:hAnsi="Nimbus Roman No9 L"/>
          <w:b/>
          <w:bCs/>
          <w:sz w:val="24"/>
          <w:szCs w:val="24"/>
        </w:rPr>
        <w:t xml:space="preserve">» </w:t>
      </w:r>
      <w:r>
        <w:rPr>
          <w:rFonts w:ascii="Nimbus Roman No9 L" w:hAnsi="Nimbus Roman No9 L"/>
          <w:b/>
          <w:sz w:val="24"/>
          <w:szCs w:val="24"/>
        </w:rPr>
        <w:t xml:space="preserve"> за 20</w:t>
      </w:r>
      <w:r>
        <w:rPr>
          <w:rFonts w:ascii="Nimbus Roman No9 L" w:hAnsi="Nimbus Roman No9 L"/>
          <w:b/>
          <w:sz w:val="24"/>
          <w:szCs w:val="24"/>
        </w:rPr>
        <w:t>20</w:t>
      </w:r>
      <w:r>
        <w:rPr>
          <w:rFonts w:ascii="Nimbus Roman No9 L" w:hAnsi="Nimbus Roman No9 L"/>
          <w:b/>
          <w:sz w:val="24"/>
          <w:szCs w:val="24"/>
        </w:rPr>
        <w:t>год по доходам.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Анализ исполнения бюджета по доходам показал, что прогнозные показатели бюджета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 xml:space="preserve">года исполнены на </w:t>
      </w:r>
      <w:r>
        <w:rPr>
          <w:rFonts w:ascii="Nimbus Roman No9 L" w:hAnsi="Nimbus Roman No9 L"/>
          <w:sz w:val="24"/>
          <w:szCs w:val="24"/>
        </w:rPr>
        <w:t>101,8</w:t>
      </w:r>
      <w:r>
        <w:rPr>
          <w:rFonts w:ascii="Nimbus Roman No9 L" w:hAnsi="Nimbus Roman No9 L"/>
          <w:sz w:val="24"/>
          <w:szCs w:val="24"/>
        </w:rPr>
        <w:t xml:space="preserve">% или </w:t>
      </w:r>
      <w:r>
        <w:rPr>
          <w:rFonts w:ascii="Nimbus Roman No9 L" w:hAnsi="Nimbus Roman No9 L"/>
          <w:sz w:val="24"/>
          <w:szCs w:val="24"/>
        </w:rPr>
        <w:t>+101656</w:t>
      </w:r>
      <w:r>
        <w:rPr>
          <w:rFonts w:ascii="Nimbus Roman No9 L" w:hAnsi="Nimbus Roman No9 L"/>
          <w:sz w:val="24"/>
          <w:szCs w:val="24"/>
        </w:rPr>
        <w:t xml:space="preserve"> руб. от </w:t>
      </w:r>
      <w:r>
        <w:rPr>
          <w:rFonts w:ascii="Nimbus Roman No9 L" w:hAnsi="Nimbus Roman No9 L"/>
          <w:sz w:val="24"/>
          <w:szCs w:val="24"/>
        </w:rPr>
        <w:t xml:space="preserve">6436778 </w:t>
      </w:r>
      <w:r>
        <w:rPr>
          <w:rFonts w:ascii="Nimbus Roman No9 L" w:hAnsi="Nimbus Roman No9 L"/>
          <w:sz w:val="24"/>
          <w:szCs w:val="24"/>
        </w:rPr>
        <w:t>руб. утвержденных бюджетных ассигнований на 201</w:t>
      </w:r>
      <w:r>
        <w:rPr>
          <w:rFonts w:ascii="Nimbus Roman No9 L" w:hAnsi="Nimbus Roman No9 L"/>
          <w:sz w:val="24"/>
          <w:szCs w:val="24"/>
        </w:rPr>
        <w:t>9</w:t>
      </w:r>
      <w:r>
        <w:rPr>
          <w:rFonts w:ascii="Nimbus Roman No9 L" w:hAnsi="Nimbus Roman No9 L"/>
          <w:sz w:val="24"/>
          <w:szCs w:val="24"/>
        </w:rPr>
        <w:t>год (см. таблица «Доходы бюджета»).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723"/>
        <w:gridCol w:w="2068"/>
        <w:gridCol w:w="1791"/>
        <w:gridCol w:w="757"/>
        <w:gridCol w:w="1176"/>
      </w:tblGrid>
      <w:tr>
        <w:trPr>
          <w:trHeight w:val="23" w:hRule="atLeast"/>
          <w:cantSplit w:val="false"/>
        </w:trPr>
        <w:tc>
          <w:tcPr>
            <w:tcW w:w="6178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Доходы бюджета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33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Код строки </w:t>
            </w:r>
          </w:p>
        </w:tc>
        <w:tc>
          <w:tcPr>
            <w:tcW w:w="20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17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Исполнено, руб.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68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9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% </w:t>
            </w:r>
          </w:p>
        </w:tc>
        <w:tc>
          <w:tcPr>
            <w:tcW w:w="117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1. Доходы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010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5496786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598442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</w:t>
            </w:r>
            <w:r>
              <w:rPr>
                <w:rFonts w:ascii="Nimbus Roman No9 L" w:hAnsi="Nimbus Roman No9 L"/>
                <w:sz w:val="24"/>
                <w:szCs w:val="24"/>
              </w:rPr>
              <w:t>1,8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101656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Поступление доходов в суммовом и процентном отношении, утвержденных бюджетных назначений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 xml:space="preserve"> год, приведены в таблице «Исполнение доходов бюджета» (данные </w:t>
      </w:r>
      <w:r>
        <w:rPr>
          <w:rFonts w:ascii="Nimbus Roman No9 L" w:hAnsi="Nimbus Roman No9 L"/>
          <w:i/>
          <w:sz w:val="24"/>
          <w:szCs w:val="24"/>
        </w:rPr>
        <w:t xml:space="preserve">Формы по ОКУД </w:t>
      </w:r>
      <w:hyperlink r:id="rId3">
        <w:r>
          <w:rPr>
            <w:rStyle w:val="Style12"/>
            <w:rFonts w:ascii="Nimbus Roman No9 L" w:hAnsi="Nimbus Roman No9 L"/>
            <w:i/>
            <w:sz w:val="24"/>
            <w:szCs w:val="24"/>
          </w:rPr>
          <w:t>0503117</w:t>
        </w:r>
      </w:hyperlink>
      <w:r>
        <w:rPr>
          <w:rFonts w:ascii="Nimbus Roman No9 L" w:hAnsi="Nimbus Roman No9 L"/>
          <w:i/>
          <w:sz w:val="24"/>
          <w:szCs w:val="24"/>
        </w:rPr>
        <w:t xml:space="preserve"> – «Отчет об исполнении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tbl>
      <w:tblPr>
        <w:jc w:val="left"/>
        <w:tblInd w:w="-138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1642"/>
        <w:gridCol w:w="1814"/>
        <w:gridCol w:w="1815"/>
        <w:gridCol w:w="1022"/>
        <w:gridCol w:w="807"/>
      </w:tblGrid>
      <w:tr>
        <w:trPr>
          <w:trHeight w:val="23" w:hRule="atLeast"/>
          <w:cantSplit w:val="false"/>
        </w:trPr>
        <w:tc>
          <w:tcPr>
            <w:tcW w:w="9691" w:type="dxa"/>
            <w:gridSpan w:val="5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 xml:space="preserve">Исполнение доходов бюджета                                                </w:t>
            </w: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.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</w:t>
            </w:r>
          </w:p>
        </w:tc>
        <w:tc>
          <w:tcPr>
            <w:tcW w:w="1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Неисполненные назначения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Сумма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бюджета - всего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x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5496786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5598442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101656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+1,8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в том числе: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НАЛОГОВЫЕ И НЕНАЛОГОВЫЕ ДОХОДЫ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000 1 00 00000 00 0000 000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268006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567422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299356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111,7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1 01 02000 01 0000 110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  <w:r>
              <w:rPr>
                <w:rFonts w:ascii="Nimbus Roman No9 L" w:hAnsi="Nimbus Roman No9 L"/>
                <w:sz w:val="24"/>
                <w:szCs w:val="24"/>
              </w:rPr>
              <w:t>8294</w:t>
            </w:r>
            <w:r>
              <w:rPr>
                <w:rFonts w:ascii="Nimbus Roman No9 L" w:hAnsi="Nimbus Roman No9 L"/>
                <w:sz w:val="24"/>
                <w:szCs w:val="24"/>
              </w:rPr>
              <w:t>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56896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18602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48,6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>1 05 01000 00 0000 110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47500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50945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3445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7,3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НАЛОГИ НА ИМУЩЕСТВО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000 1 06 00000 00 0000 000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182272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457581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275309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  <w:r>
              <w:rPr>
                <w:rFonts w:ascii="Nimbus Roman No9 L" w:hAnsi="Nimbus Roman No9 L"/>
                <w:sz w:val="24"/>
                <w:szCs w:val="24"/>
              </w:rPr>
              <w:t>51,0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>1 06 01000 00 0000 110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14</w:t>
            </w:r>
            <w:r>
              <w:rPr>
                <w:rFonts w:ascii="Nimbus Roman No9 L" w:hAnsi="Nimbus Roman No9 L"/>
                <w:sz w:val="24"/>
                <w:szCs w:val="24"/>
              </w:rPr>
              <w:t>000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23096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9096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65,0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182 </w:t>
            </w:r>
            <w:r>
              <w:rPr>
                <w:rFonts w:ascii="Nimbus Roman No9 L" w:hAnsi="Nimbus Roman No9 L"/>
                <w:sz w:val="24"/>
                <w:szCs w:val="24"/>
              </w:rPr>
              <w:t>1 06 060</w:t>
            </w: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0 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000 110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168272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434485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+266213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  <w:r>
              <w:rPr>
                <w:rFonts w:ascii="Nimbus Roman No9 L" w:hAnsi="Nimbus Roman No9 L"/>
                <w:sz w:val="24"/>
                <w:szCs w:val="24"/>
              </w:rPr>
              <w:t>58,2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Штрафы,санкции,возмещение ущерба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000 11610123010000140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2000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00311300000000000000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64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003200000000000000000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5228720</w:t>
            </w:r>
          </w:p>
        </w:tc>
        <w:tc>
          <w:tcPr>
            <w:tcW w:w="181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5031020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197700</w:t>
            </w:r>
          </w:p>
        </w:tc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3,8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320201001100000150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3346638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3346638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00320204000000000150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60</w:t>
            </w:r>
            <w:r>
              <w:rPr>
                <w:rFonts w:ascii="Nimbus Roman No9 L" w:hAnsi="Nimbus Roman No9 L"/>
                <w:sz w:val="24"/>
                <w:szCs w:val="24"/>
              </w:rPr>
              <w:t>395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  <w:r>
              <w:rPr>
                <w:rFonts w:ascii="Nimbus Roman No9 L" w:hAnsi="Nimbus Roman No9 L"/>
                <w:sz w:val="24"/>
                <w:szCs w:val="24"/>
              </w:rPr>
              <w:t>0415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  <w:r>
              <w:rPr>
                <w:rFonts w:ascii="Nimbus Roman No9 L" w:hAnsi="Nimbus Roman No9 L"/>
                <w:sz w:val="24"/>
                <w:szCs w:val="24"/>
              </w:rPr>
              <w:t>9980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66,2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Суб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сидии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320220000000000150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1139483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1123981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15502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1,</w:t>
            </w: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32024000000000150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646204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502886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143318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22,2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Прочие </w:t>
            </w:r>
            <w:r>
              <w:rPr>
                <w:rFonts w:ascii="Nimbus Roman No9 L" w:hAnsi="Nimbus Roman No9 L"/>
                <w:sz w:val="24"/>
                <w:szCs w:val="24"/>
              </w:rPr>
              <w:t>безвозмездные поступления в бюджеты поселений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320705000100000150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36</w:t>
            </w:r>
            <w:r>
              <w:rPr>
                <w:rFonts w:ascii="Nimbus Roman No9 L" w:hAnsi="Nimbus Roman No9 L"/>
                <w:sz w:val="24"/>
                <w:szCs w:val="24"/>
              </w:rPr>
              <w:t>000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371</w:t>
            </w: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1100</w:t>
            </w: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3,1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Налоговые и неналоговые доходы составили </w:t>
      </w:r>
      <w:r>
        <w:rPr>
          <w:rFonts w:ascii="Nimbus Roman No9 L" w:hAnsi="Nimbus Roman No9 L"/>
          <w:sz w:val="24"/>
          <w:szCs w:val="24"/>
          <w:shd w:fill="FFFF00" w:val="clear"/>
        </w:rPr>
        <w:t>567422</w:t>
      </w:r>
      <w:r>
        <w:rPr>
          <w:rFonts w:ascii="Nimbus Roman No9 L" w:hAnsi="Nimbus Roman No9 L"/>
          <w:sz w:val="24"/>
          <w:szCs w:val="24"/>
        </w:rPr>
        <w:t xml:space="preserve"> руб. (</w:t>
      </w:r>
      <w:r>
        <w:rPr>
          <w:rFonts w:ascii="Nimbus Roman No9 L" w:hAnsi="Nimbus Roman No9 L"/>
          <w:sz w:val="24"/>
          <w:szCs w:val="24"/>
        </w:rPr>
        <w:t>10,1</w:t>
      </w:r>
      <w:r>
        <w:rPr>
          <w:rFonts w:ascii="Nimbus Roman No9 L" w:hAnsi="Nimbus Roman No9 L"/>
          <w:sz w:val="24"/>
          <w:szCs w:val="24"/>
        </w:rPr>
        <w:t xml:space="preserve"> % общей суммы доходов). Наибольший объем поступлений в налоговых и неналоговых доходах занимают: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земельный налог – </w:t>
      </w:r>
      <w:r>
        <w:rPr>
          <w:rFonts w:ascii="Nimbus Roman No9 L" w:hAnsi="Nimbus Roman No9 L"/>
          <w:sz w:val="24"/>
          <w:szCs w:val="24"/>
        </w:rPr>
        <w:t>434485</w:t>
      </w:r>
      <w:r>
        <w:rPr>
          <w:rFonts w:ascii="Nimbus Roman No9 L" w:hAnsi="Nimbus Roman No9 L"/>
          <w:sz w:val="24"/>
          <w:szCs w:val="24"/>
        </w:rPr>
        <w:t>руб. (</w:t>
      </w:r>
      <w:r>
        <w:rPr>
          <w:rFonts w:ascii="Nimbus Roman No9 L" w:hAnsi="Nimbus Roman No9 L"/>
          <w:sz w:val="24"/>
          <w:szCs w:val="24"/>
        </w:rPr>
        <w:t>76,6</w:t>
      </w:r>
      <w:r>
        <w:rPr>
          <w:rFonts w:ascii="Nimbus Roman No9 L" w:hAnsi="Nimbus Roman No9 L"/>
          <w:sz w:val="24"/>
          <w:szCs w:val="24"/>
        </w:rPr>
        <w:t>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</w:t>
      </w:r>
      <w:r>
        <w:rPr>
          <w:rFonts w:ascii="Nimbus Roman No9 L" w:hAnsi="Nimbus Roman No9 L"/>
          <w:sz w:val="24"/>
          <w:szCs w:val="24"/>
        </w:rPr>
        <w:t>налог на доходы физических лиц —56896(10,0%)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Налог на имущество физических лиц –</w:t>
      </w:r>
      <w:r>
        <w:rPr>
          <w:rFonts w:ascii="Nimbus Roman No9 L" w:hAnsi="Nimbus Roman No9 L"/>
          <w:sz w:val="24"/>
          <w:szCs w:val="24"/>
        </w:rPr>
        <w:t>23096руб. (4,1 %)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Налог, взимаемый в связи с применением упрощенной системы налогообложения </w:t>
      </w:r>
      <w:r>
        <w:rPr>
          <w:rFonts w:ascii="Nimbus Roman No9 L" w:hAnsi="Nimbus Roman No9 L"/>
          <w:sz w:val="24"/>
          <w:szCs w:val="24"/>
        </w:rPr>
        <w:t>50945руб.(8,9%)</w:t>
      </w:r>
    </w:p>
    <w:p>
      <w:pPr>
        <w:pStyle w:val="ConsPlusNormal"/>
        <w:ind w:left="0" w:right="0" w:firstLine="539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Объем </w:t>
      </w:r>
      <w:r>
        <w:rPr>
          <w:rFonts w:ascii="Nimbus Roman No9 L" w:hAnsi="Nimbus Roman No9 L"/>
          <w:b/>
          <w:sz w:val="24"/>
          <w:szCs w:val="24"/>
        </w:rPr>
        <w:t>безвозмездных поступлений</w:t>
      </w:r>
      <w:r>
        <w:rPr>
          <w:rFonts w:ascii="Nimbus Roman No9 L" w:hAnsi="Nimbus Roman No9 L"/>
          <w:sz w:val="24"/>
          <w:szCs w:val="24"/>
        </w:rPr>
        <w:t xml:space="preserve"> от других бюджетов бюджетной системы составил –</w:t>
      </w:r>
      <w:r>
        <w:rPr>
          <w:rFonts w:ascii="Nimbus Roman No9 L" w:hAnsi="Nimbus Roman No9 L"/>
          <w:sz w:val="24"/>
          <w:szCs w:val="24"/>
        </w:rPr>
        <w:t>5031020</w:t>
      </w:r>
      <w:r>
        <w:rPr>
          <w:rFonts w:ascii="Nimbus Roman No9 L" w:hAnsi="Nimbus Roman No9 L"/>
          <w:sz w:val="24"/>
          <w:szCs w:val="24"/>
        </w:rPr>
        <w:t xml:space="preserve"> руб. (</w:t>
      </w:r>
      <w:r>
        <w:rPr>
          <w:rFonts w:ascii="Nimbus Roman No9 L" w:hAnsi="Nimbus Roman No9 L"/>
          <w:sz w:val="24"/>
          <w:szCs w:val="24"/>
        </w:rPr>
        <w:t>89,9</w:t>
      </w:r>
      <w:r>
        <w:rPr>
          <w:rFonts w:ascii="Nimbus Roman No9 L" w:hAnsi="Nimbus Roman No9 L"/>
          <w:sz w:val="24"/>
          <w:szCs w:val="24"/>
        </w:rPr>
        <w:t>% общего объема доходов), в том числе:</w:t>
      </w:r>
    </w:p>
    <w:p>
      <w:pPr>
        <w:pStyle w:val="Normal"/>
        <w:autoSpaceDE w:val="false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Показатели приложений №№1, 2, 3 к  </w:t>
      </w:r>
      <w:r>
        <w:rPr>
          <w:sz w:val="24"/>
          <w:szCs w:val="24"/>
        </w:rPr>
        <w:t>Постановлению тождественны показателям, отраженным в Отчете</w:t>
      </w:r>
    </w:p>
    <w:p>
      <w:pPr>
        <w:pStyle w:val="Normal"/>
        <w:autoSpaceDE w:val="false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исполнения бюджета 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</w:t>
      </w:r>
      <w:r>
        <w:rPr>
          <w:rFonts w:cs="Times New Roman"/>
          <w:b/>
          <w:bCs/>
          <w:color w:val="000000"/>
          <w:sz w:val="24"/>
          <w:szCs w:val="24"/>
        </w:rPr>
        <w:t>Деревня Высокое</w:t>
      </w:r>
      <w:r>
        <w:rPr>
          <w:rFonts w:cs="Times New Roman"/>
          <w:b/>
          <w:bCs/>
          <w:color w:val="000000"/>
          <w:sz w:val="24"/>
          <w:szCs w:val="24"/>
        </w:rPr>
        <w:t>»</w:t>
      </w:r>
      <w:r>
        <w:rPr>
          <w:b/>
          <w:sz w:val="24"/>
          <w:szCs w:val="24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расходам исполнение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 составило –</w:t>
      </w:r>
      <w:r>
        <w:rPr>
          <w:sz w:val="24"/>
          <w:szCs w:val="24"/>
        </w:rPr>
        <w:t>5555131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руб. Или </w:t>
      </w:r>
      <w:r>
        <w:rPr>
          <w:sz w:val="24"/>
          <w:szCs w:val="24"/>
        </w:rPr>
        <w:t>94</w:t>
      </w:r>
      <w:r>
        <w:rPr>
          <w:sz w:val="24"/>
          <w:szCs w:val="24"/>
        </w:rPr>
        <w:t>% к бюджетным ассигнованиям в соответствии с уточненной бюджетной росписью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(</w:t>
      </w:r>
      <w:r>
        <w:rPr>
          <w:sz w:val="24"/>
          <w:szCs w:val="24"/>
        </w:rPr>
        <w:t>5937344 руб)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/>
          <w:b w:val="false"/>
          <w:bCs/>
          <w:color w:val="000000"/>
          <w:sz w:val="24"/>
          <w:szCs w:val="24"/>
        </w:rPr>
        <w:t>»</w:t>
      </w:r>
      <w:r>
        <w:rPr>
          <w:bCs/>
          <w:color w:val="000000"/>
          <w:sz w:val="24"/>
          <w:szCs w:val="24"/>
        </w:rPr>
        <w:t xml:space="preserve"> за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 xml:space="preserve"> год по ведомственной структуре и в процентном исполнении к </w:t>
      </w:r>
      <w:r>
        <w:rPr>
          <w:sz w:val="24"/>
          <w:szCs w:val="24"/>
        </w:rPr>
        <w:t>бюджетным ассигнованиям в соответствии с уточненной бюджетной росписью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приведено в таблице «Исполнение расходов бюджета».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1"/>
        <w:gridCol w:w="792"/>
        <w:gridCol w:w="1872"/>
        <w:gridCol w:w="1814"/>
        <w:gridCol w:w="840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(рублей)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КГРБС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дминистраци</w:t>
            </w:r>
            <w:r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(исполнительно-распорядительного органа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МО СП «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>Деревня Высокое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5937344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5555131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</w:t>
            </w: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0100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2147985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2124001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99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60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20415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34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327118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62002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</w:t>
            </w:r>
            <w:r>
              <w:rPr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522000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394000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75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955845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830713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94</w:t>
            </w:r>
          </w:p>
        </w:tc>
      </w:tr>
      <w:tr>
        <w:trPr>
          <w:trHeight w:val="299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862000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862000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36000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442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26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26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</w:tbl>
    <w:p>
      <w:pPr>
        <w:pStyle w:val="ConsPlusNormal"/>
        <w:spacing w:before="0" w:after="0"/>
        <w:ind w:left="0" w:right="0" w:firstLine="540"/>
        <w:jc w:val="both"/>
        <w:rPr>
          <w:rFonts w:cs="Times New Roman"/>
          <w:b w:val="false"/>
          <w:color w:val="000000"/>
          <w:sz w:val="24"/>
          <w:szCs w:val="24"/>
        </w:rPr>
      </w:pPr>
      <w:r>
        <w:rPr>
          <w:rFonts w:cs="Times New Roman"/>
          <w:b w:val="false"/>
          <w:color w:val="000000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Анали</w:t>
      </w:r>
      <w:r>
        <w:rPr>
          <w:sz w:val="24"/>
          <w:szCs w:val="24"/>
        </w:rPr>
        <w:t>з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ис</w:t>
      </w:r>
      <w:r>
        <w:rPr>
          <w:b/>
          <w:sz w:val="24"/>
          <w:szCs w:val="24"/>
        </w:rPr>
        <w:t>полнения источников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внутреннего финансирования дефицита бюджета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</w:t>
      </w:r>
      <w:r>
        <w:rPr>
          <w:rFonts w:cs="Times New Roman"/>
          <w:b/>
          <w:bCs/>
          <w:color w:val="000000"/>
          <w:sz w:val="24"/>
          <w:szCs w:val="24"/>
        </w:rPr>
        <w:t>Деревня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Высокое</w:t>
      </w:r>
      <w:r>
        <w:rPr>
          <w:rFonts w:cs="Times New Roman"/>
          <w:b/>
          <w:bCs/>
          <w:color w:val="000000"/>
          <w:sz w:val="24"/>
          <w:szCs w:val="24"/>
        </w:rPr>
        <w:t>»</w:t>
      </w:r>
      <w:r>
        <w:rPr>
          <w:b/>
          <w:sz w:val="24"/>
          <w:szCs w:val="24"/>
        </w:rPr>
        <w:t xml:space="preserve"> за 20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год.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данным Отчета об исполнении бюджета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год бюджет исполнен с профицитом </w:t>
      </w:r>
      <w:r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43311</w:t>
      </w:r>
      <w:r>
        <w:rPr>
          <w:sz w:val="24"/>
          <w:szCs w:val="24"/>
        </w:rPr>
        <w:t xml:space="preserve"> руб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6"/>
        <w:gridCol w:w="1821"/>
        <w:gridCol w:w="1823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440557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ConsPlusNormal"/>
              <w:ind w:left="0" w:right="0" w:hanging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-</w:t>
            </w:r>
            <w:r>
              <w:rPr>
                <w:bCs/>
                <w:color w:val="000000"/>
                <w:sz w:val="24"/>
                <w:szCs w:val="24"/>
              </w:rPr>
              <w:t>43311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не выполнялись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jc w:val="left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361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МО СП «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>Деревня Высокое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Выводы: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» </w:t>
      </w:r>
      <w:r>
        <w:rPr>
          <w:rFonts w:cs="Times New Roman" w:ascii="Times New Roman" w:hAnsi="Times New Roman"/>
          <w:sz w:val="24"/>
          <w:szCs w:val="24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 xml:space="preserve">15 марта 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/>
      </w:pPr>
      <w:r>
        <w:rPr/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/>
      </w:pPr>
      <w:r>
        <w:rPr/>
        <w:t>4. П</w:t>
      </w:r>
      <w:r>
        <w:rPr/>
        <w:t>редоставленные документы соответствуют требованиям приказа Минфина РФ от 6 декабря 2010года №м162н « об утверждении плана счетов бюджетного учета и инструкции по его применению».</w:t>
      </w:r>
    </w:p>
    <w:p>
      <w:pPr>
        <w:pStyle w:val="Normal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Предложения: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Отчет об исполнении бюджета </w:t>
      </w:r>
      <w:r>
        <w:rPr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bCs/>
          <w:sz w:val="24"/>
          <w:szCs w:val="24"/>
        </w:rPr>
        <w:t xml:space="preserve"> за 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может быть рассмотрен и </w:t>
      </w:r>
      <w:r>
        <w:rPr>
          <w:sz w:val="24"/>
          <w:szCs w:val="24"/>
        </w:rPr>
        <w:t xml:space="preserve">утвержден Сельской думой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Деревня Высокое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sz w:val="24"/>
          <w:szCs w:val="24"/>
        </w:rPr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«Куйбышевский район» </w:t>
        <w:tab/>
        <w:tab/>
        <w:t>_________________ Л.А.Козлова</w:t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swiss"/>
    <w:pitch w:val="variable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2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2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Положение о бюджетном процессе в М</w:t>
      </w:r>
      <w:r>
        <w:rPr>
          <w:bCs/>
          <w:sz w:val="18"/>
          <w:szCs w:val="18"/>
        </w:rPr>
        <w:t>О СП «</w:t>
      </w:r>
      <w:r>
        <w:rPr>
          <w:bCs/>
          <w:sz w:val="18"/>
          <w:szCs w:val="18"/>
        </w:rPr>
        <w:t>Деревня Высоко</w:t>
      </w:r>
      <w:r>
        <w:rPr>
          <w:bCs/>
          <w:sz w:val="18"/>
          <w:szCs w:val="18"/>
        </w:rPr>
        <w:t>е</w:t>
      </w:r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 думы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1</w:t>
      </w:r>
      <w:r>
        <w:rPr>
          <w:sz w:val="18"/>
          <w:szCs w:val="18"/>
        </w:rPr>
        <w:t>4</w:t>
      </w:r>
      <w:r>
        <w:rPr>
          <w:sz w:val="18"/>
          <w:szCs w:val="18"/>
        </w:rPr>
        <w:t>.12.2005</w:t>
      </w:r>
      <w:r>
        <w:rPr>
          <w:sz w:val="18"/>
          <w:szCs w:val="18"/>
        </w:rPr>
        <w:t>г. № </w:t>
      </w:r>
      <w:r>
        <w:rPr>
          <w:sz w:val="18"/>
          <w:szCs w:val="18"/>
        </w:rPr>
        <w:t>18 с</w:t>
      </w:r>
      <w:r>
        <w:rPr>
          <w:sz w:val="18"/>
          <w:szCs w:val="18"/>
        </w:rPr>
        <w:t xml:space="preserve"> изм. и доп.)</w:t>
      </w:r>
    </w:p>
  </w:footnote>
  <w:footnote w:id="4">
    <w:p>
      <w:pPr>
        <w:pStyle w:val="Style22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>
        <w:rPr>
          <w:sz w:val="18"/>
          <w:szCs w:val="18"/>
        </w:rPr>
        <w:t>30.08.2018</w:t>
      </w:r>
      <w:r>
        <w:rPr>
          <w:sz w:val="18"/>
          <w:szCs w:val="18"/>
        </w:rPr>
        <w:t>г. №</w:t>
      </w:r>
      <w:r>
        <w:rPr>
          <w:sz w:val="18"/>
          <w:szCs w:val="18"/>
        </w:rPr>
        <w:t>220</w:t>
      </w:r>
      <w:r>
        <w:rPr>
          <w:sz w:val="18"/>
          <w:szCs w:val="18"/>
        </w:rPr>
        <w:t>.</w:t>
      </w:r>
    </w:p>
  </w:footnote>
  <w:footnote w:id="5">
    <w:p>
      <w:pPr>
        <w:pStyle w:val="1"/>
        <w:numPr>
          <w:ilvl w:val="0"/>
          <w:numId w:val="1"/>
        </w:numPr>
        <w:shd w:fill="FFFFFF" w:val="clear"/>
        <w:spacing w:before="0" w:after="0"/>
        <w:jc w:val="both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Заголовок 2"/>
    <w:basedOn w:val="Style17"/>
    <w:next w:val="Style18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7"/>
    <w:next w:val="Style18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character" w:styleId="Style11">
    <w:name w:val="Основной шрифт абзаца"/>
    <w:rPr/>
  </w:style>
  <w:style w:type="character" w:styleId="Style12">
    <w:name w:val="Интернет-ссылка"/>
    <w:basedOn w:val="Style11"/>
    <w:rPr>
      <w:color w:val="0000FF"/>
      <w:u w:val="single"/>
    </w:rPr>
  </w:style>
  <w:style w:type="character" w:styleId="Style13">
    <w:name w:val="Символ сноски"/>
    <w:basedOn w:val="Style11"/>
    <w:rPr>
      <w:vertAlign w:val="superscript"/>
    </w:rPr>
  </w:style>
  <w:style w:type="character" w:styleId="Docaccesstitle">
    <w:name w:val="docaccess_title"/>
    <w:basedOn w:val="Style11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4">
    <w:name w:val="Привязка сноски"/>
    <w:rPr>
      <w:vertAlign w:val="superscript"/>
    </w:rPr>
  </w:style>
  <w:style w:type="character" w:styleId="Style15">
    <w:name w:val="Привязка концевой сноски"/>
    <w:rPr>
      <w:vertAlign w:val="superscript"/>
    </w:rPr>
  </w:style>
  <w:style w:type="character" w:styleId="Style16">
    <w:name w:val="Символы концевой сноски"/>
    <w:rPr/>
  </w:style>
  <w:style w:type="paragraph" w:styleId="Style17">
    <w:name w:val="Заголовок"/>
    <w:basedOn w:val="Normal"/>
    <w:next w:val="Style18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8">
    <w:name w:val="Основной текст"/>
    <w:basedOn w:val="Normal"/>
    <w:pPr>
      <w:spacing w:lineRule="auto" w:line="288" w:before="0" w:after="140"/>
    </w:pPr>
    <w:rPr/>
  </w:style>
  <w:style w:type="paragraph" w:styleId="Style19">
    <w:name w:val="Список"/>
    <w:basedOn w:val="Style18"/>
    <w:pPr/>
    <w:rPr>
      <w:rFonts w:cs="Droid Sans Devanagari"/>
    </w:rPr>
  </w:style>
  <w:style w:type="paragraph" w:styleId="Style20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pPr>
      <w:suppressLineNumbers/>
    </w:pPr>
    <w:rPr>
      <w:rFonts w:cs="Droid Sans Devanagari"/>
    </w:rPr>
  </w:style>
  <w:style w:type="paragraph" w:styleId="Style22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3">
    <w:name w:val="Содержимое таблицы"/>
    <w:basedOn w:val="Normal"/>
    <w:pPr>
      <w:suppressLineNumbers/>
    </w:pPr>
    <w:rPr/>
  </w:style>
  <w:style w:type="paragraph" w:styleId="Style24">
    <w:name w:val="Заголовок таблицы"/>
    <w:basedOn w:val="Style23"/>
    <w:pPr>
      <w:suppressLineNumbers/>
      <w:jc w:val="center"/>
    </w:pPr>
    <w:rPr>
      <w:b/>
      <w:bCs/>
    </w:rPr>
  </w:style>
  <w:style w:type="paragraph" w:styleId="Style25">
    <w:name w:val="Цитата"/>
    <w:basedOn w:val="Normal"/>
    <w:pPr>
      <w:spacing w:before="0" w:after="283"/>
      <w:ind w:left="567" w:right="567" w:hanging="0"/>
    </w:pPr>
    <w:rPr/>
  </w:style>
  <w:style w:type="paragraph" w:styleId="Style26">
    <w:name w:val="Заглавие"/>
    <w:basedOn w:val="Style17"/>
    <w:next w:val="Style18"/>
    <w:pPr>
      <w:jc w:val="center"/>
    </w:pPr>
    <w:rPr>
      <w:b/>
      <w:bCs/>
      <w:sz w:val="56"/>
      <w:szCs w:val="56"/>
    </w:rPr>
  </w:style>
  <w:style w:type="paragraph" w:styleId="Style27">
    <w:name w:val="Подзаголовок"/>
    <w:basedOn w:val="Style17"/>
    <w:next w:val="Style18"/>
    <w:pPr>
      <w:spacing w:before="60" w:after="120"/>
      <w:jc w:val="center"/>
    </w:pPr>
    <w:rPr>
      <w:sz w:val="36"/>
      <w:szCs w:val="36"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5116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dcterms:modified xsi:type="dcterms:W3CDTF">2021-03-12T12:36:41Z</dcterms:modified>
  <cp:revision>16</cp:revision>
</cp:coreProperties>
</file>