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1"/>
          <w:insideH w:val="double" w:sz="4" w:space="0" w:color="000001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0"/>
        <w:gridCol w:w="4808"/>
      </w:tblGrid>
      <w:tr>
        <w:trPr>
          <w:trHeight w:val="186" w:hRule="atLeast"/>
          <w:cantSplit w:val="false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  <w:shd w:fill="FFFF00" w:val="clear"/>
              </w:rPr>
            </w:pPr>
            <w:r>
              <w:rPr>
                <w:sz w:val="20"/>
                <w:szCs w:val="2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03.08.2021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24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образования сельского поселения « Село Бутчино»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1 полугодие 2021 года</w:t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Село Бутчино»  за 1 полугодие 2021года,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Style16"/>
          <w:bCs/>
          <w:sz w:val="20"/>
          <w:szCs w:val="20"/>
        </w:rPr>
        <w:footnoteReference w:id="2"/>
      </w:r>
      <w:r>
        <w:rPr>
          <w:bCs/>
          <w:sz w:val="20"/>
          <w:szCs w:val="20"/>
        </w:rPr>
        <w:t xml:space="preserve">, Положения о бюджетном процессе в МО СП «Село Бутчино» </w:t>
      </w:r>
      <w:r>
        <w:rPr>
          <w:rStyle w:val="Style16"/>
          <w:bCs/>
          <w:sz w:val="20"/>
          <w:szCs w:val="20"/>
        </w:rPr>
        <w:footnoteReference w:id="3"/>
      </w:r>
      <w:r>
        <w:rPr>
          <w:sz w:val="20"/>
          <w:szCs w:val="20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Style16"/>
          <w:sz w:val="20"/>
          <w:szCs w:val="20"/>
        </w:rPr>
        <w:footnoteReference w:id="4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>МО СП «Село Бутчино» за 1 полугодие 2021 года (далее - Отчет);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«Село Бутчино»;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общая характеристика исполнения бюджета за 1 полугодие 2021года;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Бутчино» </w:t>
      </w:r>
      <w:r>
        <w:rPr>
          <w:sz w:val="20"/>
          <w:szCs w:val="20"/>
        </w:rPr>
        <w:t>на 2020 финансовый год.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>
      <w:pPr>
        <w:pStyle w:val="ConsPlusNormal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 Село Бутчино»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>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 xml:space="preserve">МО СП «Село Бутчино»№23 от17.12.2020г.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на 2021год и плановый период 2022-2023годов»;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Style16"/>
          <w:sz w:val="20"/>
          <w:szCs w:val="20"/>
        </w:rPr>
        <w:footnoteReference w:id="5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Бутчино»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Бутчино»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1полугодие 2021года;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полугодие  2021года.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за 1полугодие 2021 года утвержден Постановлением Администрации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Бутчино»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№  27-п  от 03  августа 2021 г. и представлен в соответствии с Положением о бюджетном процессе в 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Бутчино»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 в Контрольно-счетный орган  в   составе:</w:t>
      </w:r>
    </w:p>
    <w:p>
      <w:pPr>
        <w:pStyle w:val="Normal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«Село Бутчино» </w:t>
      </w:r>
      <w:r>
        <w:rPr>
          <w:sz w:val="20"/>
          <w:szCs w:val="20"/>
        </w:rPr>
        <w:t xml:space="preserve"> за 1полугодие 2021 года по доходам в сумме 3 326 870,88 руб. и расходам в сумме 3 175 163,54руб., в разрезе разделов функциональной бюджетной классификации Российской Федерации, с профицитом за 1 полугодие 2021года в размере 151 707,34руб.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В течение 1 полугодия 2021 года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Бутчино»,Уставе МО СП «Село Бутчино» и других нормативных правовых актах.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Решением Сельской Думы «О бюджете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на 2021год и плановый период 2022-2023годов» № 23   от 17.12.20120 г. утвержден бюджет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на 2021год.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4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1 полугодие 2021 года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1 полугодие  2021 года;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приложение№ 3 «Источники финансирования дефицита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Соответствие нормативно-правовой основы МО СП «Село Бутчино»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Бутчино», </w:t>
      </w:r>
      <w:r>
        <w:rPr>
          <w:rFonts w:cs="Times New Roman" w:ascii="Times New Roman" w:hAnsi="Times New Roman"/>
          <w:sz w:val="20"/>
          <w:szCs w:val="20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Отчет и иные документы, подлежащие представлению в КСО, представлены 03августа 2021 года, или в срок представления Отчета для подготовки заключения на него, установленный </w:t>
      </w:r>
      <w:hyperlink r:id="rId4">
        <w:r>
          <w:rPr>
            <w:rStyle w:val="Style14"/>
          </w:rPr>
          <w:t xml:space="preserve"> </w:t>
        </w:r>
      </w:hyperlink>
      <w:hyperlink r:id="rId5">
        <w:r>
          <w:rPr>
            <w:rStyle w:val="Style14"/>
          </w:rPr>
          <w:t xml:space="preserve"> </w:t>
        </w:r>
      </w:hyperlink>
      <w:hyperlink r:id="rId6">
        <w:r>
          <w:rPr>
            <w:rStyle w:val="Style14"/>
            <w:rFonts w:cs="Times New Roman" w:ascii="Times New Roman" w:hAnsi="Times New Roman"/>
            <w:bCs/>
            <w:iCs/>
            <w:sz w:val="20"/>
            <w:szCs w:val="20"/>
            <w:u w:val="none"/>
          </w:rPr>
          <w:t>Положение</w:t>
        </w:r>
      </w:hyperlink>
      <w:hyperlink r:id="rId7">
        <w:r>
          <w:rPr>
            <w:rStyle w:val="Style14"/>
            <w:rFonts w:cs="Times New Roman" w:ascii="Times New Roman" w:hAnsi="Times New Roman"/>
            <w:bCs/>
            <w:iCs/>
            <w:sz w:val="20"/>
            <w:szCs w:val="20"/>
            <w:u w:val="none"/>
          </w:rPr>
          <w:t>м</w:t>
        </w:r>
      </w:hyperlink>
      <w:hyperlink r:id="rId8">
        <w:r>
          <w:rPr>
            <w:rStyle w:val="Style14"/>
            <w:rFonts w:cs="Times New Roman" w:ascii="Times New Roman" w:hAnsi="Times New Roman"/>
            <w:bCs/>
            <w:iCs/>
            <w:sz w:val="20"/>
            <w:szCs w:val="20"/>
            <w:u w:val="none"/>
          </w:rPr>
          <w:t xml:space="preserve"> о бюджетном процессе в</w:t>
        </w:r>
      </w:hyperlink>
      <w:hyperlink r:id="rId9">
        <w:r>
          <w:rPr>
            <w:rStyle w:val="Style14"/>
            <w:rFonts w:cs="Times New Roman" w:ascii="Times New Roman" w:hAnsi="Times New Roman"/>
            <w:bCs/>
            <w:iCs/>
            <w:sz w:val="20"/>
            <w:szCs w:val="20"/>
            <w:u w:val="none"/>
          </w:rPr>
          <w:t xml:space="preserve"> </w:t>
        </w:r>
      </w:hyperlink>
      <w:r>
        <w:rPr>
          <w:rStyle w:val="Style14"/>
          <w:rFonts w:cs="Times New Roman" w:ascii="Times New Roman" w:hAnsi="Times New Roman"/>
          <w:bCs/>
          <w:iCs/>
          <w:sz w:val="20"/>
          <w:szCs w:val="20"/>
          <w:u w:val="none"/>
        </w:rPr>
        <w:t xml:space="preserve">МО СП </w:t>
      </w:r>
      <w:hyperlink r:id="rId10">
        <w:r>
          <w:rPr>
            <w:rStyle w:val="Style14"/>
          </w:rPr>
          <w:t>«Село Бутчино» (утв. решением Сельской думы от 13.12.2005г. № 21(с изм. и доп.))</w:t>
        </w:r>
      </w:hyperlink>
      <w:hyperlink r:id="rId11">
        <w:r>
          <w:rPr>
            <w:rStyle w:val="Style14"/>
          </w:rPr>
          <w:t xml:space="preserve"> </w:t>
        </w:r>
      </w:hyperlink>
      <w:r>
        <w:rPr>
          <w:rFonts w:cs="Times New Roman" w:ascii="Times New Roman" w:hAnsi="Times New Roman"/>
          <w:sz w:val="20"/>
          <w:szCs w:val="20"/>
        </w:rPr>
        <w:t xml:space="preserve">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bCs/>
          <w:sz w:val="20"/>
          <w:szCs w:val="20"/>
        </w:rPr>
        <w:t xml:space="preserve"> за 1 полугодие 2021года (с изменениями и дополнениями), утверждается отчет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bCs/>
          <w:sz w:val="20"/>
          <w:szCs w:val="20"/>
        </w:rPr>
        <w:t xml:space="preserve"> за 1 полугодие 2021 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3 326 870,88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–3 175 163,54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151 707,34  рублей.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№№1, 2, 3  соответствуют показателям  Постановления Администрации 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1 полугодие  2021 года;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№ 27-п   от 03  августа 2021г.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rFonts w:cs="Times New Roman"/>
          <w:b/>
          <w:sz w:val="20"/>
          <w:szCs w:val="20"/>
        </w:rPr>
        <w:t xml:space="preserve"> МО СП «Село Бутчино»</w:t>
      </w:r>
      <w:r>
        <w:rPr>
          <w:b/>
          <w:sz w:val="20"/>
          <w:szCs w:val="20"/>
        </w:rPr>
        <w:t xml:space="preserve"> за отчетный период по доходам.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01.07.2021 года в размере –</w:t>
      </w:r>
      <w:r>
        <w:rPr>
          <w:bCs/>
          <w:sz w:val="20"/>
          <w:szCs w:val="20"/>
        </w:rPr>
        <w:t xml:space="preserve"> 3 326 870,88 рублей.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1"/>
        <w:gridCol w:w="1787"/>
      </w:tblGrid>
      <w:tr>
        <w:trPr>
          <w:trHeight w:val="391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«Село Бутчино» за 1полугодие  2020года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79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799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8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7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3326870,88</w:t>
            </w:r>
          </w:p>
        </w:tc>
      </w:tr>
      <w:tr>
        <w:trPr>
          <w:trHeight w:val="200" w:hRule="atLeast"/>
          <w:cantSplit w:val="false"/>
        </w:trPr>
        <w:tc>
          <w:tcPr>
            <w:tcW w:w="7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 г. Решение Сельской Думы «О бюджете муниципального образования сельского поселения  «Село Бутчино» на 2021 год и плановый период 2022-2023 годов» (с изм. и доп.)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9 457 163,85</w:t>
            </w:r>
          </w:p>
        </w:tc>
      </w:tr>
      <w:tr>
        <w:trPr>
          <w:trHeight w:val="141" w:hRule="atLeast"/>
          <w:cantSplit w:val="false"/>
        </w:trPr>
        <w:tc>
          <w:tcPr>
            <w:tcW w:w="79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2019 году</w:t>
            </w:r>
          </w:p>
        </w:tc>
        <w:tc>
          <w:tcPr>
            <w:tcW w:w="1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35,18%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за 1 полугодие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5"/>
        <w:gridCol w:w="2233"/>
      </w:tblGrid>
      <w:tr>
        <w:trPr>
          <w:trHeight w:val="253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75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75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3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363 789,66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33 221,44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116 169,85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154 398,37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60 000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2 963 081,22</w:t>
            </w:r>
          </w:p>
        </w:tc>
      </w:tr>
      <w:tr>
        <w:trPr>
          <w:trHeight w:val="23" w:hRule="atLeast"/>
          <w:cantSplit w:val="false"/>
        </w:trPr>
        <w:tc>
          <w:tcPr>
            <w:tcW w:w="7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3 326 870,88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>МО СП «Село Бутчино»</w:t>
      </w:r>
      <w:r>
        <w:rPr>
          <w:b/>
          <w:sz w:val="20"/>
          <w:szCs w:val="20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01.07.2021 года составило – </w:t>
      </w:r>
      <w:r>
        <w:rPr>
          <w:bCs/>
          <w:sz w:val="20"/>
          <w:szCs w:val="20"/>
        </w:rPr>
        <w:t xml:space="preserve"> 3 175 163,54 </w:t>
      </w:r>
      <w:r>
        <w:rPr>
          <w:sz w:val="20"/>
          <w:szCs w:val="20"/>
        </w:rPr>
        <w:t>руб. или 33 32% к бюджетным ассигнованиям в соответствии с уточненной бюджетной росписью на 2021 год (</w:t>
      </w:r>
      <w:r>
        <w:rPr>
          <w:bCs/>
          <w:sz w:val="20"/>
          <w:szCs w:val="20"/>
        </w:rPr>
        <w:t>9 529363,85</w:t>
      </w:r>
      <w:r>
        <w:rPr>
          <w:sz w:val="20"/>
          <w:szCs w:val="20"/>
        </w:rPr>
        <w:t xml:space="preserve">руб.). 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bCs/>
          <w:color w:val="000000"/>
          <w:sz w:val="20"/>
          <w:szCs w:val="20"/>
        </w:rPr>
        <w:t xml:space="preserve"> за 1 полугодие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2221 год приведено в таблице «Исполнение расходов бюджета».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8"/>
        <w:gridCol w:w="850"/>
        <w:gridCol w:w="1425"/>
        <w:gridCol w:w="1755"/>
        <w:gridCol w:w="671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>
        <w:trPr>
          <w:cantSplit w:val="false"/>
        </w:trPr>
        <w:tc>
          <w:tcPr>
            <w:tcW w:w="50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Администрация (исполнительно-распорядительного органа МО СП « Село Бутчино) итого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9 529363,85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3175163,54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30,77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0100 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2 960500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1 341463,52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45,31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126400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10 585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8,37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74600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44600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59,79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1034183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541390,32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52,35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4073680,85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604041,70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14,83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1 157000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578502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50,00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72 000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30 900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42,92</w:t>
            </w:r>
          </w:p>
        </w:tc>
      </w:tr>
      <w:tr>
        <w:trPr>
          <w:trHeight w:val="23" w:hRule="atLeast"/>
          <w:cantSplit w:val="false"/>
        </w:trPr>
        <w:tc>
          <w:tcPr>
            <w:tcW w:w="503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2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75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23681</w:t>
            </w:r>
          </w:p>
        </w:tc>
        <w:tc>
          <w:tcPr>
            <w:tcW w:w="67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76,39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муниципального района «Куйбышевский район»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2021года.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>По данным Отчета об исполнении бюджета за 1 полугодие  2021года бюджет исполнен с профицитом 1</w:t>
      </w:r>
      <w:r>
        <w:rPr>
          <w:bCs/>
          <w:sz w:val="20"/>
          <w:szCs w:val="20"/>
        </w:rPr>
        <w:t>51 707,34 рублей.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5"/>
        <w:gridCol w:w="1821"/>
        <w:gridCol w:w="1824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72200,00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151707,34</w:t>
            </w:r>
          </w:p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tbl>
      <w:tblPr>
        <w:jc w:val="left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6360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МО СП « Село Бутчино)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rFonts w:cs="Times New Roman" w:ascii="Times New Roman" w:hAnsi="Times New Roman"/>
          <w:sz w:val="20"/>
          <w:szCs w:val="20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2. Отчет и иные документы, подлежащие представлению в КСО, представлены 03августа2021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Проекта замечания отсутствуют. Фактов недостоверных отчетных данных и искажений бюджетной отчетности за 1 полугодие 2021 года не установлено.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bCs/>
          <w:sz w:val="20"/>
          <w:szCs w:val="20"/>
        </w:rPr>
        <w:t xml:space="preserve"> за 1 полугодие  2021 года </w:t>
      </w:r>
      <w:r>
        <w:rPr>
          <w:sz w:val="20"/>
          <w:szCs w:val="20"/>
        </w:rPr>
        <w:t xml:space="preserve">может быть рассмотрен и принят к сведению Сельской думой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«Село Бутчино»</w:t>
      </w:r>
      <w:r>
        <w:rPr>
          <w:sz w:val="20"/>
          <w:szCs w:val="20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>
      <w:pPr>
        <w:pStyle w:val="Style24"/>
        <w:rPr/>
      </w:pPr>
      <w:r>
        <w:rPr/>
      </w:r>
    </w:p>
  </w:footnote>
  <w:footnote w:id="3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Бутчино»</w:t>
      </w:r>
      <w:r>
        <w:rPr>
          <w:sz w:val="18"/>
          <w:szCs w:val="18"/>
        </w:rPr>
        <w:t xml:space="preserve"> (утв. решением Сельской думы от 13.12.2005г. № 21(с изм. и доп.))</w:t>
      </w:r>
    </w:p>
    <w:p>
      <w:pPr>
        <w:pStyle w:val="Style24"/>
        <w:rPr/>
      </w:pPr>
      <w:r>
        <w:rPr/>
      </w:r>
    </w:p>
  </w:footnote>
  <w:footnote w:id="4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  <w:p>
      <w:pPr>
        <w:pStyle w:val="Style24"/>
        <w:rPr/>
      </w:pPr>
      <w:r>
        <w:rPr/>
      </w:r>
    </w:p>
  </w:footnote>
  <w:footnote w:id="5">
    <w:p>
      <w:pPr>
        <w:pStyle w:val="Normal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>
      <w:pPr>
        <w:pStyle w:val="Style24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  <w:lang w:val="zxx" w:eastAsia="zxx" w:bidi="zxx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ListLabel1">
    <w:name w:val="ListLabel 1"/>
    <w:rPr>
      <w:rFonts w:cs="Symbol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pPr>
      <w:suppressLineNumbers/>
    </w:pPr>
    <w:rPr/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hyperlink" Target="consultantplus://offline/ref=60295D26D302FE6745840B4E8E3802774152CB5560D6E25D275B0E2CD38AC77533E4F9D06204C43C5559DFv2F6L" TargetMode="External"/><Relationship Id="rId6" Type="http://schemas.openxmlformats.org/officeDocument/2006/relationships/hyperlink" Target="consultantplus://offline/ref=60295D26D302FE6745840B4E8E3802774152CB5560D6E25D275B0E2CD38AC77533E4F9D06204C43C5559DFv2F6L" TargetMode="External"/><Relationship Id="rId7" Type="http://schemas.openxmlformats.org/officeDocument/2006/relationships/hyperlink" Target="consultantplus://offline/ref=60295D26D302FE6745840B4E8E3802774152CB5560D6E25D275B0E2CD38AC77533E4F9D06204C43C5559DFv2F6L" TargetMode="External"/><Relationship Id="rId8" Type="http://schemas.openxmlformats.org/officeDocument/2006/relationships/hyperlink" Target="consultantplus://offline/ref=60295D26D302FE6745840B4E8E3802774152CB5560D6E25D275B0E2CD38AC77533E4F9D06204C43C5559DFv2F6L" TargetMode="Externa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1" Type="http://schemas.openxmlformats.org/officeDocument/2006/relationships/hyperlink" Target="consultantplus://offline/ref=60295D26D302FE6745840B4E8E3802774152CB5560D6E25D275B0E2CD38AC77533E4F9D06204C43C5559DFv2F6L" TargetMode="External"/><Relationship Id="rId12" Type="http://schemas.openxmlformats.org/officeDocument/2006/relationships/footnotes" Target="footnotes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4227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cp:lastPrinted>2020-08-02T09:41:09Z</cp:lastPrinted>
  <dcterms:modified xsi:type="dcterms:W3CDTF">2021-08-25T11:24:25Z</dcterms:modified>
  <cp:revision>17</cp:revision>
</cp:coreProperties>
</file>